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B" w:rsidRDefault="009B7E8B" w:rsidP="00AB76EA">
      <w:pPr>
        <w:pStyle w:val="Heading1"/>
        <w:keepNext w:val="0"/>
      </w:pPr>
      <w:r>
        <w:t xml:space="preserve">SECTION 030101 – </w:t>
      </w:r>
      <w:bookmarkStart w:id="0" w:name="OLE_LINK1"/>
      <w:bookmarkStart w:id="1" w:name="OLE_LINK2"/>
      <w:r>
        <w:t>MAINTENANCE OF CONCRETE FOR STEAM UTILITY DISTRIBUTION</w:t>
      </w:r>
      <w:bookmarkEnd w:id="0"/>
      <w:bookmarkEnd w:id="1"/>
    </w:p>
    <w:p w:rsidR="009B7E8B" w:rsidRDefault="009B7E8B" w:rsidP="004E5D84">
      <w:pPr>
        <w:pStyle w:val="MSUSpec"/>
      </w:pPr>
      <w:r>
        <w:t>GENERAL</w:t>
      </w:r>
    </w:p>
    <w:p w:rsidR="009B7E8B" w:rsidRDefault="009B7E8B" w:rsidP="004E5D84">
      <w:pPr>
        <w:pStyle w:val="MSUSpec"/>
        <w:numPr>
          <w:ilvl w:val="0"/>
          <w:numId w:val="0"/>
        </w:numPr>
      </w:pPr>
    </w:p>
    <w:p w:rsidR="009B7E8B" w:rsidRDefault="009B7E8B" w:rsidP="00AB76EA">
      <w:pPr>
        <w:pStyle w:val="MSUSpec"/>
        <w:numPr>
          <w:ilvl w:val="1"/>
          <w:numId w:val="1"/>
        </w:numPr>
      </w:pPr>
      <w:r>
        <w:t>RELATED DOCUMENTS</w:t>
      </w:r>
    </w:p>
    <w:p w:rsidR="009B7E8B" w:rsidRDefault="009B7E8B" w:rsidP="00AB76EA">
      <w:pPr>
        <w:pStyle w:val="MSUSpec"/>
        <w:numPr>
          <w:ilvl w:val="2"/>
          <w:numId w:val="1"/>
        </w:numPr>
        <w:spacing w:before="240"/>
      </w:pPr>
      <w:r>
        <w:t>Drawings and general provisions of the Contract, including General and Supplementary Conditions and Division 01 Specification sections, apply to this section.</w:t>
      </w:r>
    </w:p>
    <w:p w:rsidR="009B7E8B" w:rsidRDefault="009B7E8B" w:rsidP="00AB76EA">
      <w:pPr>
        <w:pStyle w:val="MSUSpec"/>
        <w:numPr>
          <w:ilvl w:val="1"/>
          <w:numId w:val="1"/>
        </w:numPr>
        <w:spacing w:before="240"/>
      </w:pPr>
      <w:r>
        <w:t>SUMMARY</w:t>
      </w:r>
    </w:p>
    <w:p w:rsidR="009B7E8B" w:rsidRDefault="009B7E8B" w:rsidP="00AB76EA">
      <w:pPr>
        <w:pStyle w:val="MSUSpec"/>
        <w:numPr>
          <w:ilvl w:val="2"/>
          <w:numId w:val="1"/>
        </w:numPr>
        <w:spacing w:before="240"/>
      </w:pPr>
      <w:r>
        <w:t>This section includes the furnishing and installation of formwork, reinforcement and concrete repair mortar and grout in the steam utility distribution system.</w:t>
      </w:r>
    </w:p>
    <w:p w:rsidR="009B7E8B" w:rsidRDefault="009B7E8B" w:rsidP="00AB76EA">
      <w:pPr>
        <w:pStyle w:val="MSUSpec"/>
        <w:numPr>
          <w:ilvl w:val="1"/>
          <w:numId w:val="1"/>
        </w:numPr>
        <w:spacing w:before="240"/>
      </w:pPr>
      <w:r>
        <w:t>REFERENCES</w:t>
      </w:r>
    </w:p>
    <w:p w:rsidR="009B7E8B" w:rsidRDefault="009B7E8B" w:rsidP="00AB76EA">
      <w:pPr>
        <w:pStyle w:val="MSUSpec"/>
        <w:numPr>
          <w:ilvl w:val="2"/>
          <w:numId w:val="1"/>
        </w:numPr>
        <w:spacing w:before="240"/>
      </w:pPr>
      <w:r>
        <w:t>Except as herein specified or as indicated on the Drawings, the work of this section shall comply with the following: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ASTM Standard Specifications, Test Methods and Classifications:</w:t>
      </w:r>
    </w:p>
    <w:p w:rsidR="009B7E8B" w:rsidRDefault="009B7E8B" w:rsidP="003531D7">
      <w:pPr>
        <w:pStyle w:val="MSUSpec"/>
        <w:numPr>
          <w:ilvl w:val="4"/>
          <w:numId w:val="1"/>
        </w:numPr>
        <w:spacing w:before="240"/>
      </w:pPr>
      <w:r>
        <w:t>ASTM A615 - Specification for Deformed and Plain Billet - Steel Bars for Concrete Reinforcement.</w:t>
      </w:r>
    </w:p>
    <w:p w:rsidR="009B7E8B" w:rsidRDefault="009B7E8B" w:rsidP="00FF0970">
      <w:pPr>
        <w:pStyle w:val="MSUSpec"/>
        <w:numPr>
          <w:ilvl w:val="4"/>
          <w:numId w:val="1"/>
        </w:numPr>
        <w:spacing w:before="240"/>
      </w:pPr>
      <w:r>
        <w:t>ASTM A775 - Epoxy Coated Reinforcing Steel Bars.</w:t>
      </w:r>
    </w:p>
    <w:p w:rsidR="009B7E8B" w:rsidRDefault="009B7E8B" w:rsidP="00FF0970">
      <w:pPr>
        <w:pStyle w:val="MSUSpec"/>
        <w:numPr>
          <w:ilvl w:val="4"/>
          <w:numId w:val="1"/>
        </w:numPr>
        <w:spacing w:before="240"/>
      </w:pPr>
      <w:r>
        <w:t>ASTM C33 - Specification for Concrete Aggregates.</w:t>
      </w:r>
    </w:p>
    <w:p w:rsidR="009B7E8B" w:rsidRDefault="009B7E8B" w:rsidP="00FF0970">
      <w:pPr>
        <w:pStyle w:val="MSUSpec"/>
        <w:numPr>
          <w:ilvl w:val="4"/>
          <w:numId w:val="1"/>
        </w:numPr>
        <w:spacing w:before="240"/>
      </w:pPr>
      <w:r>
        <w:t>ASTM C309 - Specification for Liquid Membrane-Forming Compounds for Curing Concrete.</w:t>
      </w:r>
    </w:p>
    <w:p w:rsidR="009B7E8B" w:rsidRDefault="009B7E8B" w:rsidP="00FF0970">
      <w:pPr>
        <w:pStyle w:val="MSUSpec"/>
        <w:numPr>
          <w:ilvl w:val="4"/>
          <w:numId w:val="1"/>
        </w:numPr>
        <w:spacing w:before="240"/>
      </w:pPr>
      <w:r>
        <w:t>ASTM C1019 - Sampling and Testing Grout.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ACI - American Concrete Institute:</w:t>
      </w:r>
    </w:p>
    <w:p w:rsidR="009B7E8B" w:rsidRDefault="009B7E8B" w:rsidP="003531D7">
      <w:pPr>
        <w:pStyle w:val="MSUSpec"/>
        <w:numPr>
          <w:ilvl w:val="4"/>
          <w:numId w:val="1"/>
        </w:numPr>
        <w:spacing w:before="240"/>
      </w:pPr>
      <w:r>
        <w:t>ACI 301 - Specifications for Structural Concrete for Buildings.</w:t>
      </w:r>
    </w:p>
    <w:p w:rsidR="009B7E8B" w:rsidRDefault="009B7E8B" w:rsidP="00AB76EA">
      <w:pPr>
        <w:pStyle w:val="MSUSpec"/>
        <w:numPr>
          <w:ilvl w:val="4"/>
          <w:numId w:val="1"/>
        </w:numPr>
      </w:pPr>
      <w:r>
        <w:t>ACI 304R - Guide for Measuring, Mixing, Transporting and Placing Concrete.</w:t>
      </w:r>
    </w:p>
    <w:p w:rsidR="009B7E8B" w:rsidRDefault="009B7E8B" w:rsidP="00AB76EA">
      <w:pPr>
        <w:pStyle w:val="MSUSpec"/>
        <w:numPr>
          <w:ilvl w:val="4"/>
          <w:numId w:val="1"/>
        </w:numPr>
      </w:pPr>
      <w:r>
        <w:t>ACI 305R - Hot Weather Concreting.</w:t>
      </w:r>
    </w:p>
    <w:p w:rsidR="009B7E8B" w:rsidRDefault="009B7E8B" w:rsidP="00AB76EA">
      <w:pPr>
        <w:pStyle w:val="MSUSpec"/>
        <w:numPr>
          <w:ilvl w:val="4"/>
          <w:numId w:val="1"/>
        </w:numPr>
      </w:pPr>
      <w:r>
        <w:t>ACI 309R - Guide for Consolidation of Concrete.</w:t>
      </w:r>
    </w:p>
    <w:p w:rsidR="009B7E8B" w:rsidRDefault="009B7E8B" w:rsidP="00AB76EA">
      <w:pPr>
        <w:pStyle w:val="MSUSpec"/>
        <w:numPr>
          <w:ilvl w:val="4"/>
          <w:numId w:val="1"/>
        </w:numPr>
      </w:pPr>
      <w:r>
        <w:t>ACI 347R - Guide to Formwork for Concrete.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MDOT Publications:  Standard Specifications for Construction.</w:t>
      </w:r>
    </w:p>
    <w:p w:rsidR="009B7E8B" w:rsidRDefault="009B7E8B" w:rsidP="00AB76EA">
      <w:pPr>
        <w:pStyle w:val="MSUSpec"/>
        <w:numPr>
          <w:ilvl w:val="1"/>
          <w:numId w:val="1"/>
        </w:numPr>
        <w:spacing w:before="240"/>
      </w:pPr>
      <w:r>
        <w:t>DESIGN AND PERFORMANCE REQUIREMENTS</w:t>
      </w:r>
    </w:p>
    <w:p w:rsidR="009B7E8B" w:rsidRDefault="009B7E8B" w:rsidP="00AB76EA">
      <w:pPr>
        <w:pStyle w:val="MSUSpec"/>
        <w:numPr>
          <w:ilvl w:val="2"/>
          <w:numId w:val="1"/>
        </w:numPr>
        <w:spacing w:before="240"/>
      </w:pPr>
      <w:r>
        <w:t>Formwork:  The design and construction of formwork shall be the responsibility of Contractor.</w:t>
      </w:r>
    </w:p>
    <w:p w:rsidR="009B7E8B" w:rsidRDefault="009B7E8B" w:rsidP="00AB76EA">
      <w:pPr>
        <w:pStyle w:val="MSUSpec"/>
        <w:numPr>
          <w:ilvl w:val="1"/>
          <w:numId w:val="1"/>
        </w:numPr>
        <w:spacing w:before="240"/>
      </w:pPr>
      <w:r>
        <w:t>QUALITY ASSURANCE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Testing of concrete: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In accordance with ASTM C1019.</w:t>
      </w:r>
    </w:p>
    <w:p w:rsidR="009B7E8B" w:rsidRDefault="009B7E8B" w:rsidP="00FF0970">
      <w:pPr>
        <w:pStyle w:val="MSUSpec"/>
        <w:numPr>
          <w:ilvl w:val="3"/>
          <w:numId w:val="1"/>
        </w:numPr>
        <w:spacing w:before="240"/>
      </w:pPr>
      <w:r>
        <w:t>One sample of 3 specimens taken from representative mixes each day concrete is mixed and placed.</w:t>
      </w:r>
    </w:p>
    <w:p w:rsidR="009B7E8B" w:rsidRDefault="009B7E8B" w:rsidP="00D05F48">
      <w:pPr>
        <w:pStyle w:val="MSUSpec"/>
        <w:numPr>
          <w:ilvl w:val="3"/>
          <w:numId w:val="1"/>
        </w:numPr>
        <w:spacing w:before="240"/>
      </w:pPr>
      <w:r>
        <w:t>Samples shall be taken and tested by testing laboratory approved by Owner.</w:t>
      </w:r>
    </w:p>
    <w:p w:rsidR="009B7E8B" w:rsidRDefault="009B7E8B" w:rsidP="00831058">
      <w:pPr>
        <w:pStyle w:val="MSUSpec"/>
        <w:keepNext/>
        <w:spacing w:before="240"/>
      </w:pPr>
      <w:r>
        <w:t>PRODUCTS</w:t>
      </w:r>
    </w:p>
    <w:p w:rsidR="009B7E8B" w:rsidRDefault="009B7E8B" w:rsidP="00831058">
      <w:pPr>
        <w:pStyle w:val="MSUSpec"/>
        <w:keepNext/>
        <w:numPr>
          <w:ilvl w:val="1"/>
          <w:numId w:val="1"/>
        </w:numPr>
        <w:spacing w:before="240"/>
      </w:pPr>
      <w:r>
        <w:t>MATERIALS</w:t>
      </w:r>
    </w:p>
    <w:p w:rsidR="009B7E8B" w:rsidRDefault="009B7E8B" w:rsidP="00831058">
      <w:pPr>
        <w:pStyle w:val="MSUSpec"/>
        <w:keepNext/>
        <w:numPr>
          <w:ilvl w:val="2"/>
          <w:numId w:val="1"/>
        </w:numPr>
        <w:spacing w:before="240"/>
      </w:pPr>
      <w:r>
        <w:t>Formwork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Form grade plywood or metal panels; no torn edges or worn plywood.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Form release agent nonstaining, nonemulsifiable type.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Provide chamfered strips or finished radiused edges at all exposed corners of concrete.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Reinforcing bars: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ASTM A615.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Yield stress: Fy = 60,000 psi.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Epoxy coated reinforcement: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Bars:</w:t>
      </w:r>
    </w:p>
    <w:p w:rsidR="009B7E8B" w:rsidRDefault="009B7E8B" w:rsidP="003531D7">
      <w:pPr>
        <w:pStyle w:val="MSUSpec"/>
        <w:numPr>
          <w:ilvl w:val="4"/>
          <w:numId w:val="1"/>
        </w:numPr>
        <w:spacing w:before="240"/>
      </w:pPr>
      <w:r>
        <w:t>Comply with ASTM A615 and ASTM A775.</w:t>
      </w:r>
    </w:p>
    <w:p w:rsidR="009B7E8B" w:rsidRDefault="009B7E8B" w:rsidP="00AB76EA">
      <w:pPr>
        <w:pStyle w:val="MSUSpec"/>
        <w:numPr>
          <w:ilvl w:val="4"/>
          <w:numId w:val="1"/>
        </w:numPr>
      </w:pPr>
      <w:r>
        <w:t>Yield stress:  Fy = 60,000 psi, Grade 60.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Repair mortar: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Premixed repair mortar: Sikatop 111 Plus by Sika; no substitutions.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Aggregate:  ASTM C33, 3/8-inch pea gravel.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Moist cure in accordance with manufacturer’s recommendations.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Use for column bases (curb details) and maintenance pads.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Patch mortar: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Premix repair mortar: Sika Repair SHB by Sika, no substitutions.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Water: Clean, fresh and potable.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ab/>
        <w:t>Moist cure in accordance with manufacturer’s recommendations.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Use only for vertical and overhead applications.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Floor mortar: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Premix patching material: Sika Repair 222 by Sika, no substitutions.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Aggregate: ASTM C33, 3/8-inch pea gravel.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Use only for floor applications.</w:t>
      </w:r>
    </w:p>
    <w:p w:rsidR="009B7E8B" w:rsidRDefault="009B7E8B" w:rsidP="007216D9">
      <w:pPr>
        <w:pStyle w:val="MSUSpec"/>
        <w:keepNext/>
        <w:keepLines/>
        <w:numPr>
          <w:ilvl w:val="2"/>
          <w:numId w:val="1"/>
        </w:numPr>
        <w:spacing w:before="240"/>
      </w:pPr>
      <w:r>
        <w:t>Grout:</w:t>
      </w:r>
    </w:p>
    <w:p w:rsidR="009B7E8B" w:rsidRDefault="009B7E8B" w:rsidP="007216D9">
      <w:pPr>
        <w:pStyle w:val="MSUSpec"/>
        <w:keepNext/>
        <w:keepLines/>
        <w:numPr>
          <w:ilvl w:val="3"/>
          <w:numId w:val="1"/>
        </w:numPr>
        <w:spacing w:before="240"/>
      </w:pPr>
      <w:r>
        <w:t>Masterflow 928 by Master Builders, Inc.; no substitutions.</w:t>
      </w:r>
    </w:p>
    <w:p w:rsidR="009B7E8B" w:rsidRDefault="009B7E8B" w:rsidP="00AB76EA">
      <w:pPr>
        <w:pStyle w:val="MSUSpec"/>
        <w:numPr>
          <w:ilvl w:val="3"/>
          <w:numId w:val="1"/>
        </w:numPr>
      </w:pPr>
      <w:r>
        <w:t>Use only for grouting of dowels and anchor bolts.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Zinc-rich paint: Nitoprime Zincrich, by Fosroc, Inc.; no substitutions.</w:t>
      </w:r>
    </w:p>
    <w:p w:rsidR="009B7E8B" w:rsidRDefault="009B7E8B" w:rsidP="003531D7">
      <w:pPr>
        <w:pStyle w:val="MSUSpec"/>
        <w:keepNext/>
        <w:numPr>
          <w:ilvl w:val="1"/>
          <w:numId w:val="1"/>
        </w:numPr>
        <w:spacing w:before="240"/>
      </w:pPr>
      <w:r>
        <w:t>CONCRETE MIX</w:t>
      </w:r>
    </w:p>
    <w:p w:rsidR="009B7E8B" w:rsidRDefault="009B7E8B" w:rsidP="003531D7">
      <w:pPr>
        <w:pStyle w:val="MSUSpec"/>
        <w:keepNext/>
        <w:numPr>
          <w:ilvl w:val="2"/>
          <w:numId w:val="1"/>
        </w:numPr>
        <w:spacing w:before="240"/>
      </w:pPr>
      <w:r>
        <w:t>Proportioning:</w:t>
      </w:r>
    </w:p>
    <w:p w:rsidR="009B7E8B" w:rsidRDefault="009B7E8B" w:rsidP="003531D7">
      <w:pPr>
        <w:pStyle w:val="MSUSpec"/>
        <w:keepNext/>
        <w:numPr>
          <w:ilvl w:val="3"/>
          <w:numId w:val="1"/>
        </w:numPr>
        <w:spacing w:before="240"/>
      </w:pPr>
      <w:r>
        <w:t>Repair mortar:</w:t>
      </w:r>
    </w:p>
    <w:p w:rsidR="009B7E8B" w:rsidRDefault="009B7E8B" w:rsidP="003531D7">
      <w:pPr>
        <w:pStyle w:val="MSUSpec"/>
        <w:numPr>
          <w:ilvl w:val="4"/>
          <w:numId w:val="1"/>
        </w:numPr>
        <w:spacing w:before="240"/>
      </w:pPr>
      <w:r>
        <w:t>42 pounds of saturated surface dry pea gravel per one mix unit of Sika 111 Plus.</w:t>
      </w:r>
    </w:p>
    <w:p w:rsidR="009B7E8B" w:rsidRDefault="009B7E8B" w:rsidP="00FF0970">
      <w:pPr>
        <w:pStyle w:val="MSUSpec"/>
        <w:numPr>
          <w:ilvl w:val="4"/>
          <w:numId w:val="1"/>
        </w:numPr>
      </w:pPr>
      <w:r>
        <w:t>No water shall be added.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Patch mortar: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Water: 3/4 gallon per 50 pound bag.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Floor mortar: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35 pounds saturated surface dry pea graver per one 50 pound bag.</w:t>
      </w:r>
    </w:p>
    <w:p w:rsidR="009B7E8B" w:rsidRDefault="009B7E8B" w:rsidP="00AB76EA">
      <w:pPr>
        <w:pStyle w:val="MSUSpec"/>
        <w:numPr>
          <w:ilvl w:val="4"/>
          <w:numId w:val="1"/>
        </w:numPr>
      </w:pPr>
      <w:r>
        <w:t>Water: 3/4 gallon per 50 pound bag.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Add only enough water to develop consistency for each specific application. The water to cement ratio should remain as low as possible.</w:t>
      </w:r>
    </w:p>
    <w:p w:rsidR="009B7E8B" w:rsidRDefault="009B7E8B" w:rsidP="00831058">
      <w:pPr>
        <w:pStyle w:val="MSUSpec"/>
        <w:numPr>
          <w:ilvl w:val="1"/>
          <w:numId w:val="1"/>
        </w:numPr>
        <w:spacing w:before="240"/>
      </w:pPr>
      <w:r>
        <w:t>SOURCE QUALITY CONTROL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Production and delivery: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Mix mortar by machine mixer, not by hand.</w:t>
      </w:r>
    </w:p>
    <w:p w:rsidR="009B7E8B" w:rsidRDefault="009B7E8B" w:rsidP="00831058">
      <w:pPr>
        <w:pStyle w:val="MSUSpec"/>
        <w:numPr>
          <w:ilvl w:val="3"/>
          <w:numId w:val="1"/>
        </w:numPr>
      </w:pPr>
      <w:r>
        <w:t>Keep mix components and mixing equipment cool.</w:t>
      </w:r>
    </w:p>
    <w:p w:rsidR="009B7E8B" w:rsidRDefault="009B7E8B" w:rsidP="00831058">
      <w:pPr>
        <w:pStyle w:val="MSUSpec"/>
        <w:numPr>
          <w:ilvl w:val="3"/>
          <w:numId w:val="1"/>
        </w:numPr>
      </w:pPr>
      <w:r>
        <w:t>Mix only as much mortar as can be placed at one time.</w:t>
      </w:r>
    </w:p>
    <w:p w:rsidR="009B7E8B" w:rsidRDefault="009B7E8B" w:rsidP="007C6B3F">
      <w:pPr>
        <w:pStyle w:val="MSUSpec"/>
        <w:spacing w:before="240"/>
      </w:pPr>
      <w:r>
        <w:t>EXECUTION</w:t>
      </w:r>
    </w:p>
    <w:p w:rsidR="009B7E8B" w:rsidRDefault="009B7E8B" w:rsidP="00831058">
      <w:pPr>
        <w:pStyle w:val="MSUSpec"/>
        <w:numPr>
          <w:ilvl w:val="1"/>
          <w:numId w:val="1"/>
        </w:numPr>
        <w:spacing w:before="240"/>
      </w:pPr>
      <w:r>
        <w:t>ERECTION AND PLACEMENT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Forms:  Provide required forms and accessories in sufficient quantities so as not to delay the work.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Environmental considerations: Comply with ACI 305R.</w:t>
      </w:r>
    </w:p>
    <w:p w:rsidR="009B7E8B" w:rsidRDefault="009B7E8B" w:rsidP="00831058">
      <w:pPr>
        <w:pStyle w:val="MSUSpec"/>
        <w:numPr>
          <w:ilvl w:val="2"/>
          <w:numId w:val="1"/>
        </w:numPr>
        <w:spacing w:before="240"/>
      </w:pPr>
      <w:r>
        <w:t>Concrete repair mortar, patch mortar, and floor mortar: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Preparation:</w:t>
      </w:r>
    </w:p>
    <w:p w:rsidR="009B7E8B" w:rsidRDefault="009B7E8B" w:rsidP="003531D7">
      <w:pPr>
        <w:pStyle w:val="MSUSpec"/>
        <w:numPr>
          <w:ilvl w:val="4"/>
          <w:numId w:val="1"/>
        </w:numPr>
        <w:spacing w:before="240"/>
      </w:pPr>
      <w:r>
        <w:t>Ensure that unsound concrete has been removed and that existing concrete edges are squared.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Surfaces against which repair mortar will be placed shall be left roughened.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Clean existing exposed reinforcing steel by wire brushing or sand blasting, as required, to bare metal.  Thoroughly coat reinforcing steel with 2 coats of zinc rich paint.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Thoroughly prewet surface against which concrete will be placed.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Scrub bond coat of repair mortar paste into bond surface with stiff brush.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Placement: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Place mortar immediately, before scrub coat dries.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Thoroughly rod and work mortar under and around new and existing components.</w:t>
      </w:r>
    </w:p>
    <w:p w:rsidR="009B7E8B" w:rsidRDefault="009B7E8B" w:rsidP="00D05F48">
      <w:pPr>
        <w:pStyle w:val="MSUSpec"/>
        <w:numPr>
          <w:ilvl w:val="4"/>
          <w:numId w:val="1"/>
        </w:numPr>
        <w:spacing w:before="240"/>
      </w:pPr>
      <w:r>
        <w:t>Repair mortar may be placed in a maximum of 9-inch lifts.  Consult manufacturer for lift criteria for patch mortar and floor mortar.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Finishing and curing:</w:t>
      </w:r>
    </w:p>
    <w:p w:rsidR="009B7E8B" w:rsidRDefault="009B7E8B" w:rsidP="003531D7">
      <w:pPr>
        <w:pStyle w:val="MSUSpec"/>
        <w:numPr>
          <w:ilvl w:val="4"/>
          <w:numId w:val="1"/>
        </w:numPr>
        <w:spacing w:before="240"/>
      </w:pPr>
      <w:r>
        <w:t>After troweling exposed surface, wet cure with damp fabric for 3 days minimum.</w:t>
      </w:r>
    </w:p>
    <w:p w:rsidR="009B7E8B" w:rsidRDefault="009B7E8B" w:rsidP="00B463D0">
      <w:pPr>
        <w:pStyle w:val="MSUSpec"/>
        <w:numPr>
          <w:ilvl w:val="4"/>
          <w:numId w:val="1"/>
        </w:numPr>
      </w:pPr>
      <w:r>
        <w:t>Remove forms after one day and continue damp curing.</w:t>
      </w:r>
    </w:p>
    <w:p w:rsidR="009B7E8B" w:rsidRDefault="009B7E8B" w:rsidP="00B463D0">
      <w:pPr>
        <w:pStyle w:val="MSUSpec"/>
        <w:numPr>
          <w:ilvl w:val="4"/>
          <w:numId w:val="1"/>
        </w:numPr>
      </w:pPr>
      <w:r>
        <w:t>Do not permit damp fabric to dry.</w:t>
      </w:r>
    </w:p>
    <w:p w:rsidR="009B7E8B" w:rsidRDefault="009B7E8B" w:rsidP="00B463D0">
      <w:pPr>
        <w:pStyle w:val="MSUSpec"/>
        <w:numPr>
          <w:ilvl w:val="4"/>
          <w:numId w:val="1"/>
        </w:numPr>
      </w:pPr>
      <w:r>
        <w:t>Apply curing compound immediately upon removal of wet curing.</w:t>
      </w:r>
    </w:p>
    <w:p w:rsidR="009B7E8B" w:rsidRDefault="009B7E8B" w:rsidP="003531D7">
      <w:pPr>
        <w:pStyle w:val="MSUSpec"/>
        <w:numPr>
          <w:ilvl w:val="3"/>
          <w:numId w:val="1"/>
        </w:numPr>
        <w:spacing w:before="240"/>
      </w:pPr>
      <w:r>
        <w:t>Install products in accordance with manufacturer’s requirements.</w:t>
      </w:r>
    </w:p>
    <w:p w:rsidR="009B7E8B" w:rsidRDefault="009B7E8B" w:rsidP="00831058">
      <w:pPr>
        <w:pStyle w:val="MSUSpec"/>
        <w:numPr>
          <w:ilvl w:val="0"/>
          <w:numId w:val="0"/>
        </w:numPr>
      </w:pPr>
    </w:p>
    <w:p w:rsidR="009B7E8B" w:rsidRDefault="009B7E8B" w:rsidP="006730F6">
      <w:pPr>
        <w:pStyle w:val="MSUSpec"/>
        <w:numPr>
          <w:ilvl w:val="0"/>
          <w:numId w:val="0"/>
        </w:numPr>
      </w:pPr>
      <w:r>
        <w:t>END OF SECTION 030101</w:t>
      </w:r>
    </w:p>
    <w:p w:rsidR="009B7E8B" w:rsidRDefault="009B7E8B" w:rsidP="006730F6">
      <w:pPr>
        <w:pStyle w:val="MSUSpec"/>
        <w:numPr>
          <w:ilvl w:val="0"/>
          <w:numId w:val="0"/>
        </w:numPr>
      </w:pPr>
    </w:p>
    <w:p w:rsidR="009B7E8B" w:rsidRPr="009F1053" w:rsidRDefault="009B7E8B" w:rsidP="009F1053">
      <w:pPr>
        <w:rPr>
          <w:szCs w:val="20"/>
        </w:rPr>
      </w:pPr>
    </w:p>
    <w:sectPr w:rsidR="009B7E8B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8B" w:rsidRDefault="009B7E8B">
      <w:r>
        <w:separator/>
      </w:r>
    </w:p>
  </w:endnote>
  <w:endnote w:type="continuationSeparator" w:id="1">
    <w:p w:rsidR="009B7E8B" w:rsidRDefault="009B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8B" w:rsidRPr="00760B68" w:rsidRDefault="009B7E8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9B7E8B" w:rsidRDefault="009B7E8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030101MaintConcSteam.doc</w:t>
    </w:r>
  </w:p>
  <w:p w:rsidR="009B7E8B" w:rsidRPr="00760B68" w:rsidRDefault="009B7E8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>
      <w:rPr>
        <w:sz w:val="20"/>
        <w:szCs w:val="20"/>
      </w:rPr>
      <w:t>01</w:t>
    </w:r>
    <w:r w:rsidRPr="00760B68">
      <w:rPr>
        <w:sz w:val="20"/>
        <w:szCs w:val="20"/>
      </w:rPr>
      <w:t>/</w:t>
    </w:r>
    <w:r>
      <w:rPr>
        <w:sz w:val="20"/>
        <w:szCs w:val="20"/>
      </w:rPr>
      <w:t>01</w:t>
    </w:r>
    <w:r w:rsidRPr="00760B68">
      <w:rPr>
        <w:sz w:val="20"/>
        <w:szCs w:val="20"/>
      </w:rPr>
      <w:t>/</w:t>
    </w:r>
    <w:r>
      <w:rPr>
        <w:sz w:val="20"/>
        <w:szCs w:val="20"/>
      </w:rPr>
      <w:t>2</w:t>
    </w:r>
    <w:r w:rsidRPr="00760B68">
      <w:rPr>
        <w:sz w:val="20"/>
        <w:szCs w:val="20"/>
      </w:rPr>
      <w:t>00</w:t>
    </w:r>
    <w:r>
      <w:rPr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8B" w:rsidRDefault="009B7E8B">
      <w:r>
        <w:separator/>
      </w:r>
    </w:p>
  </w:footnote>
  <w:footnote w:type="continuationSeparator" w:id="1">
    <w:p w:rsidR="009B7E8B" w:rsidRDefault="009B7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12"/>
      <w:gridCol w:w="3341"/>
    </w:tblGrid>
    <w:tr w:rsidR="009B7E8B" w:rsidTr="00D53427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9B7E8B" w:rsidRDefault="009B7E8B" w:rsidP="00D53427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Name">
            <w:smartTag w:uri="urn:schemas-microsoft-com:office:smarttags" w:element="plac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9B7E8B" w:rsidRDefault="009B7E8B" w:rsidP="00D53427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9B7E8B" w:rsidRDefault="009B7E8B" w:rsidP="00D53427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 xml:space="preserve">MAINTENANCE OF CONCRETE FOR STEAM UTILITY DISTRIBUTION  </w:t>
          </w:r>
        </w:p>
        <w:p w:rsidR="009B7E8B" w:rsidRDefault="009B7E8B" w:rsidP="00D53427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030101-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9B7E8B" w:rsidRDefault="009B7E8B" w:rsidP="00A00AE1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>
    <w:nsid w:val="508E2FAC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5657219B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>
    <w:nsid w:val="5DAA087A"/>
    <w:multiLevelType w:val="multilevel"/>
    <w:tmpl w:val="2AEC2ACE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456"/>
        </w:tabs>
        <w:ind w:left="345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43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F6"/>
    <w:rsid w:val="00000CAC"/>
    <w:rsid w:val="000263FC"/>
    <w:rsid w:val="0003794C"/>
    <w:rsid w:val="00044AFD"/>
    <w:rsid w:val="00066C49"/>
    <w:rsid w:val="00073D2E"/>
    <w:rsid w:val="000906A6"/>
    <w:rsid w:val="000A6D9B"/>
    <w:rsid w:val="000B129E"/>
    <w:rsid w:val="000C4FF8"/>
    <w:rsid w:val="000D17A0"/>
    <w:rsid w:val="000E160F"/>
    <w:rsid w:val="000E1896"/>
    <w:rsid w:val="000F3182"/>
    <w:rsid w:val="000F4AD3"/>
    <w:rsid w:val="00126112"/>
    <w:rsid w:val="00167A34"/>
    <w:rsid w:val="00177E83"/>
    <w:rsid w:val="001928B3"/>
    <w:rsid w:val="001A4820"/>
    <w:rsid w:val="001B1DF2"/>
    <w:rsid w:val="001B3345"/>
    <w:rsid w:val="001B798B"/>
    <w:rsid w:val="001C3733"/>
    <w:rsid w:val="001D4157"/>
    <w:rsid w:val="002043D6"/>
    <w:rsid w:val="00217421"/>
    <w:rsid w:val="0022536A"/>
    <w:rsid w:val="00227AB8"/>
    <w:rsid w:val="00235134"/>
    <w:rsid w:val="00244A9B"/>
    <w:rsid w:val="002550C9"/>
    <w:rsid w:val="00265117"/>
    <w:rsid w:val="00284114"/>
    <w:rsid w:val="002869B8"/>
    <w:rsid w:val="002A01DB"/>
    <w:rsid w:val="002A17CA"/>
    <w:rsid w:val="002B64AE"/>
    <w:rsid w:val="002C0E01"/>
    <w:rsid w:val="002C551E"/>
    <w:rsid w:val="002D4424"/>
    <w:rsid w:val="002E0BD7"/>
    <w:rsid w:val="002E46B2"/>
    <w:rsid w:val="002E5626"/>
    <w:rsid w:val="002F2FA0"/>
    <w:rsid w:val="003531D7"/>
    <w:rsid w:val="003541D6"/>
    <w:rsid w:val="0035723A"/>
    <w:rsid w:val="00361954"/>
    <w:rsid w:val="003B2330"/>
    <w:rsid w:val="003C5055"/>
    <w:rsid w:val="003E4570"/>
    <w:rsid w:val="003F1C1A"/>
    <w:rsid w:val="003F7D3B"/>
    <w:rsid w:val="00410CEA"/>
    <w:rsid w:val="00411F26"/>
    <w:rsid w:val="00417AB8"/>
    <w:rsid w:val="00446D95"/>
    <w:rsid w:val="00462377"/>
    <w:rsid w:val="00464F1D"/>
    <w:rsid w:val="00471466"/>
    <w:rsid w:val="00471CCF"/>
    <w:rsid w:val="004A299E"/>
    <w:rsid w:val="004B5459"/>
    <w:rsid w:val="004C01F6"/>
    <w:rsid w:val="004C7052"/>
    <w:rsid w:val="004E5D84"/>
    <w:rsid w:val="005022E2"/>
    <w:rsid w:val="00504947"/>
    <w:rsid w:val="0050768B"/>
    <w:rsid w:val="00510A45"/>
    <w:rsid w:val="0052487B"/>
    <w:rsid w:val="00526B9F"/>
    <w:rsid w:val="005621E6"/>
    <w:rsid w:val="00563926"/>
    <w:rsid w:val="00565BB8"/>
    <w:rsid w:val="005D798A"/>
    <w:rsid w:val="005D7B01"/>
    <w:rsid w:val="005F0117"/>
    <w:rsid w:val="00601EB3"/>
    <w:rsid w:val="006229E8"/>
    <w:rsid w:val="00640FFD"/>
    <w:rsid w:val="00663FBF"/>
    <w:rsid w:val="006730F6"/>
    <w:rsid w:val="006B562B"/>
    <w:rsid w:val="006F725E"/>
    <w:rsid w:val="007065D2"/>
    <w:rsid w:val="00713805"/>
    <w:rsid w:val="007215B3"/>
    <w:rsid w:val="007216D9"/>
    <w:rsid w:val="00742A0B"/>
    <w:rsid w:val="00760B68"/>
    <w:rsid w:val="007A221E"/>
    <w:rsid w:val="007A4BC9"/>
    <w:rsid w:val="007A73A5"/>
    <w:rsid w:val="007C6B3F"/>
    <w:rsid w:val="007C7B4E"/>
    <w:rsid w:val="007E7AE5"/>
    <w:rsid w:val="007F2065"/>
    <w:rsid w:val="00814064"/>
    <w:rsid w:val="0082081C"/>
    <w:rsid w:val="008215E6"/>
    <w:rsid w:val="00831058"/>
    <w:rsid w:val="00844D10"/>
    <w:rsid w:val="00853D18"/>
    <w:rsid w:val="00854603"/>
    <w:rsid w:val="0087529A"/>
    <w:rsid w:val="00875AC1"/>
    <w:rsid w:val="008F1BD8"/>
    <w:rsid w:val="00904AC4"/>
    <w:rsid w:val="00913CFE"/>
    <w:rsid w:val="009425EE"/>
    <w:rsid w:val="009460DA"/>
    <w:rsid w:val="009955C5"/>
    <w:rsid w:val="009B300A"/>
    <w:rsid w:val="009B3D4D"/>
    <w:rsid w:val="009B7E8B"/>
    <w:rsid w:val="009C443D"/>
    <w:rsid w:val="009C5AEE"/>
    <w:rsid w:val="009F1053"/>
    <w:rsid w:val="009F5CD4"/>
    <w:rsid w:val="00A00AE1"/>
    <w:rsid w:val="00A0284C"/>
    <w:rsid w:val="00A3228E"/>
    <w:rsid w:val="00A336EB"/>
    <w:rsid w:val="00A64FB5"/>
    <w:rsid w:val="00AA0446"/>
    <w:rsid w:val="00AB0462"/>
    <w:rsid w:val="00AB0A2F"/>
    <w:rsid w:val="00AB6F46"/>
    <w:rsid w:val="00AB76EA"/>
    <w:rsid w:val="00AC1F0F"/>
    <w:rsid w:val="00AD3AEA"/>
    <w:rsid w:val="00AD41FF"/>
    <w:rsid w:val="00AE0A41"/>
    <w:rsid w:val="00B0149E"/>
    <w:rsid w:val="00B127E4"/>
    <w:rsid w:val="00B145B9"/>
    <w:rsid w:val="00B26A98"/>
    <w:rsid w:val="00B3606A"/>
    <w:rsid w:val="00B4058B"/>
    <w:rsid w:val="00B463D0"/>
    <w:rsid w:val="00B86BE8"/>
    <w:rsid w:val="00B95162"/>
    <w:rsid w:val="00B95203"/>
    <w:rsid w:val="00BB075E"/>
    <w:rsid w:val="00BC228B"/>
    <w:rsid w:val="00BD3123"/>
    <w:rsid w:val="00BD7C6B"/>
    <w:rsid w:val="00BF141E"/>
    <w:rsid w:val="00BF4A79"/>
    <w:rsid w:val="00C0272B"/>
    <w:rsid w:val="00C07C38"/>
    <w:rsid w:val="00C167E5"/>
    <w:rsid w:val="00C17415"/>
    <w:rsid w:val="00C3111B"/>
    <w:rsid w:val="00C76DF7"/>
    <w:rsid w:val="00C90578"/>
    <w:rsid w:val="00C9551D"/>
    <w:rsid w:val="00CB6858"/>
    <w:rsid w:val="00CC64E1"/>
    <w:rsid w:val="00CF786D"/>
    <w:rsid w:val="00D05F48"/>
    <w:rsid w:val="00D20DB9"/>
    <w:rsid w:val="00D318BA"/>
    <w:rsid w:val="00D3345F"/>
    <w:rsid w:val="00D40B68"/>
    <w:rsid w:val="00D53427"/>
    <w:rsid w:val="00D549C1"/>
    <w:rsid w:val="00D616E5"/>
    <w:rsid w:val="00D61833"/>
    <w:rsid w:val="00D71595"/>
    <w:rsid w:val="00D9695D"/>
    <w:rsid w:val="00D9783D"/>
    <w:rsid w:val="00D97BB5"/>
    <w:rsid w:val="00DA3403"/>
    <w:rsid w:val="00DB43C4"/>
    <w:rsid w:val="00DD2790"/>
    <w:rsid w:val="00DE0C41"/>
    <w:rsid w:val="00DE439C"/>
    <w:rsid w:val="00E04DF2"/>
    <w:rsid w:val="00E44A03"/>
    <w:rsid w:val="00E664F5"/>
    <w:rsid w:val="00E736E2"/>
    <w:rsid w:val="00E7566B"/>
    <w:rsid w:val="00E76A46"/>
    <w:rsid w:val="00E869A2"/>
    <w:rsid w:val="00EB01B8"/>
    <w:rsid w:val="00EC3B3B"/>
    <w:rsid w:val="00EC7D7B"/>
    <w:rsid w:val="00ED561B"/>
    <w:rsid w:val="00F04E3E"/>
    <w:rsid w:val="00F12F66"/>
    <w:rsid w:val="00F30583"/>
    <w:rsid w:val="00F3293B"/>
    <w:rsid w:val="00F44AD6"/>
    <w:rsid w:val="00F563DA"/>
    <w:rsid w:val="00F76790"/>
    <w:rsid w:val="00F86D01"/>
    <w:rsid w:val="00F96009"/>
    <w:rsid w:val="00FA6214"/>
    <w:rsid w:val="00FF0970"/>
    <w:rsid w:val="00FF12AF"/>
    <w:rsid w:val="00FF301A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112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A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A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A64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A6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64"/>
    <w:rPr>
      <w:sz w:val="0"/>
      <w:szCs w:val="0"/>
    </w:rPr>
  </w:style>
  <w:style w:type="paragraph" w:customStyle="1" w:styleId="MSUSpec">
    <w:name w:val="MSU Spec"/>
    <w:rsid w:val="00504947"/>
    <w:pPr>
      <w:numPr>
        <w:numId w:val="15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MSUFTCHSpec">
    <w:name w:val="MSU FTCH Spec"/>
    <w:rsid w:val="00504947"/>
    <w:pPr>
      <w:numPr>
        <w:numId w:val="16"/>
      </w:num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napps\Microsoft\Office03\FTCHTEMPLATES\Project%20Manual\MSU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MSU Spec.dot</Template>
  <TotalTime>110</TotalTime>
  <Pages>4</Pages>
  <Words>762</Words>
  <Characters>4128</Characters>
  <Application>Microsoft Office Outlook</Application>
  <DocSecurity>0</DocSecurity>
  <Lines>0</Lines>
  <Paragraphs>0</Paragraphs>
  <ScaleCrop>false</ScaleCrop>
  <Company>MSU, Physical Plant Division (EAS)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CONCRETE FOR STEAM UTILITY DISTRIBUTION</dc:title>
  <dc:subject/>
  <dc:creator>MSG</dc:creator>
  <cp:keywords/>
  <dc:description/>
  <cp:lastModifiedBy>M. Scott Gardner</cp:lastModifiedBy>
  <cp:revision>29</cp:revision>
  <cp:lastPrinted>2008-12-01T17:46:00Z</cp:lastPrinted>
  <dcterms:created xsi:type="dcterms:W3CDTF">2008-12-01T16:36:00Z</dcterms:created>
  <dcterms:modified xsi:type="dcterms:W3CDTF">2009-02-02T20:00:00Z</dcterms:modified>
</cp:coreProperties>
</file>