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C0" w:rsidRDefault="00F95BC0">
      <w:pPr>
        <w:pStyle w:val="SCT"/>
      </w:pPr>
      <w:r>
        <w:t xml:space="preserve">SECTION </w:t>
      </w:r>
      <w:r>
        <w:rPr>
          <w:rStyle w:val="NUM"/>
        </w:rPr>
        <w:t>102810</w:t>
      </w:r>
      <w:r>
        <w:t xml:space="preserve"> - </w:t>
      </w:r>
      <w:r>
        <w:rPr>
          <w:rStyle w:val="NAM"/>
        </w:rPr>
        <w:t>TOILET AND BATH ACCESSORIES</w:t>
      </w:r>
    </w:p>
    <w:p w:rsidR="00F95BC0" w:rsidRDefault="00F95BC0">
      <w:pPr>
        <w:pStyle w:val="PRT"/>
      </w:pPr>
      <w:r>
        <w:t>GENERAL</w:t>
      </w:r>
    </w:p>
    <w:p w:rsidR="00F95BC0" w:rsidRDefault="00F95BC0">
      <w:pPr>
        <w:pStyle w:val="ART"/>
      </w:pPr>
      <w:r>
        <w:t>M.S.U. ISSUES</w:t>
      </w:r>
    </w:p>
    <w:p w:rsidR="00F95BC0" w:rsidRDefault="00F95BC0">
      <w:pPr>
        <w:pStyle w:val="PR1"/>
      </w:pPr>
      <w:r>
        <w:t>Mirrors will normally be provided at all lavatory locations.  Provide full-length mirror on adjacent wall for wheelchair users.  If the full-length mirror is the only mirror available for wheelchair users, it will be immediately adjacent to a lavatory.</w:t>
      </w:r>
    </w:p>
    <w:p w:rsidR="00F95BC0" w:rsidRDefault="00F95BC0">
      <w:pPr>
        <w:pStyle w:val="PR1"/>
      </w:pPr>
      <w:r>
        <w:t>Soap dispensers and paper towel dispensers will be provided and installed by M.S.U. unless otherwise approved.  If an alternate paper towel dispenser is approved, it shall use the MSU standard paper towel roll and be a two roll type.</w:t>
      </w:r>
    </w:p>
    <w:p w:rsidR="00F95BC0" w:rsidRDefault="00F95BC0">
      <w:pPr>
        <w:pStyle w:val="ART"/>
      </w:pPr>
      <w:r>
        <w:t>SUMMARY</w:t>
      </w:r>
    </w:p>
    <w:p w:rsidR="00F95BC0" w:rsidRDefault="00F95BC0">
      <w:pPr>
        <w:pStyle w:val="PR1"/>
      </w:pPr>
      <w:r>
        <w:t>This Section includes the following:</w:t>
      </w:r>
    </w:p>
    <w:p w:rsidR="00F95BC0" w:rsidRDefault="00F95BC0">
      <w:pPr>
        <w:pStyle w:val="PR2"/>
        <w:spacing w:before="240"/>
      </w:pPr>
      <w:r>
        <w:t>Washroom accessories.</w:t>
      </w:r>
    </w:p>
    <w:p w:rsidR="00F95BC0" w:rsidRDefault="00F95BC0">
      <w:pPr>
        <w:pStyle w:val="PR2"/>
      </w:pPr>
      <w:r>
        <w:t>Shower room accessories.</w:t>
      </w:r>
    </w:p>
    <w:p w:rsidR="00F95BC0" w:rsidRDefault="00F95BC0">
      <w:pPr>
        <w:pStyle w:val="PR1"/>
      </w:pPr>
      <w:r>
        <w:t>Related Sections include the following:</w:t>
      </w:r>
    </w:p>
    <w:p w:rsidR="00F95BC0" w:rsidRDefault="00F95BC0">
      <w:pPr>
        <w:pStyle w:val="PR2"/>
        <w:spacing w:before="240"/>
      </w:pPr>
      <w:r>
        <w:t>Division 09 Section CERAMIC TILING for ceramic toilet and bath accessories.</w:t>
      </w:r>
    </w:p>
    <w:p w:rsidR="00F95BC0" w:rsidRDefault="00F95BC0">
      <w:pPr>
        <w:pStyle w:val="ART"/>
      </w:pPr>
      <w:r>
        <w:t>SUBMITTALS</w:t>
      </w:r>
    </w:p>
    <w:p w:rsidR="00F95BC0" w:rsidRDefault="00F95BC0">
      <w:pPr>
        <w:pStyle w:val="PR1"/>
      </w:pPr>
      <w:r>
        <w:t>Product Data:  For each type of product indicated.  Include the following:</w:t>
      </w:r>
    </w:p>
    <w:p w:rsidR="00F95BC0" w:rsidRDefault="00F95BC0">
      <w:pPr>
        <w:pStyle w:val="PR2"/>
        <w:spacing w:before="240"/>
      </w:pPr>
      <w:r>
        <w:t>Construction details and dimensions.</w:t>
      </w:r>
    </w:p>
    <w:p w:rsidR="00F95BC0" w:rsidRDefault="00F95BC0">
      <w:pPr>
        <w:pStyle w:val="PR2"/>
      </w:pPr>
      <w:r>
        <w:t>Anchoring and mounting requirements, including requirements for cutouts in other work and substrate preparation.</w:t>
      </w:r>
    </w:p>
    <w:p w:rsidR="00F95BC0" w:rsidRDefault="00F95BC0">
      <w:pPr>
        <w:pStyle w:val="PR2"/>
      </w:pPr>
      <w:r>
        <w:t>Material and finish descriptions.</w:t>
      </w:r>
    </w:p>
    <w:p w:rsidR="00F95BC0" w:rsidRDefault="00F95BC0">
      <w:pPr>
        <w:pStyle w:val="PR2"/>
      </w:pPr>
      <w:r>
        <w:t>Manufacturer's warranty.</w:t>
      </w:r>
    </w:p>
    <w:p w:rsidR="00F95BC0" w:rsidRDefault="00F95BC0">
      <w:pPr>
        <w:pStyle w:val="PR1"/>
      </w:pPr>
      <w:r>
        <w:t>Samples:  If requested, full size, for each accessory item to verify design, operation, and finish requirements.</w:t>
      </w:r>
    </w:p>
    <w:p w:rsidR="00F95BC0" w:rsidRDefault="00F95BC0">
      <w:pPr>
        <w:pStyle w:val="PR1"/>
      </w:pPr>
      <w:r>
        <w:t>Product Schedule:  Indicating types, quantities, sizes, and installation locations by room of each accessory required.</w:t>
      </w:r>
    </w:p>
    <w:p w:rsidR="00F95BC0" w:rsidRDefault="00F95BC0">
      <w:pPr>
        <w:pStyle w:val="PR2"/>
        <w:spacing w:before="240"/>
      </w:pPr>
      <w:r>
        <w:t>Identify locations using room designations indicated on Drawings.</w:t>
      </w:r>
    </w:p>
    <w:p w:rsidR="00F95BC0" w:rsidRDefault="00F95BC0">
      <w:pPr>
        <w:pStyle w:val="PR1"/>
      </w:pPr>
      <w:r>
        <w:t>Maintenance Data:  For toilet and bath accessories to include in maintenance manuals.</w:t>
      </w:r>
    </w:p>
    <w:p w:rsidR="00F95BC0" w:rsidRDefault="00F95BC0">
      <w:pPr>
        <w:pStyle w:val="ART"/>
      </w:pPr>
      <w:r>
        <w:lastRenderedPageBreak/>
        <w:t>QUALITY ASSURANCE</w:t>
      </w:r>
    </w:p>
    <w:p w:rsidR="00F95BC0" w:rsidRDefault="00F95BC0">
      <w:pPr>
        <w:pStyle w:val="PR1"/>
      </w:pPr>
      <w:r>
        <w:t>Source Limitations:  For products listed together in the same articles in Part 2, provide products of same manufacturer unless otherwise approved by Architect.</w:t>
      </w:r>
    </w:p>
    <w:p w:rsidR="00F95BC0" w:rsidRDefault="00F95BC0">
      <w:pPr>
        <w:pStyle w:val="PR1"/>
      </w:pPr>
      <w:r>
        <w:t>Electrical Components, Devices, and Accessories:  Listed and labeled as defined in NFPA 70, Article 100, by a testing agency acceptable to authorities having jurisdiction, and marked for intended use.</w:t>
      </w:r>
    </w:p>
    <w:p w:rsidR="00F95BC0" w:rsidRDefault="00F95BC0">
      <w:pPr>
        <w:pStyle w:val="ART"/>
      </w:pPr>
      <w:r>
        <w:t>COORDINATION</w:t>
      </w:r>
    </w:p>
    <w:p w:rsidR="00F95BC0" w:rsidRDefault="00F95BC0">
      <w:pPr>
        <w:pStyle w:val="PR1"/>
      </w:pPr>
      <w:r>
        <w:t>Coordinate accessory locations with other work to prevent interference with clearances required for access by people with disabilities, and for proper installation, adjustment, operation, cleaning, and servicing of accessories.</w:t>
      </w:r>
    </w:p>
    <w:p w:rsidR="00F95BC0" w:rsidRDefault="00F95BC0">
      <w:pPr>
        <w:pStyle w:val="PR1"/>
      </w:pPr>
      <w:r>
        <w:t xml:space="preserve">Deliver inserts and anchoring devices set into concrete or masonry as required </w:t>
      </w:r>
      <w:proofErr w:type="gramStart"/>
      <w:r>
        <w:t>to prevent</w:t>
      </w:r>
      <w:proofErr w:type="gramEnd"/>
      <w:r>
        <w:t xml:space="preserve"> delaying the Work.</w:t>
      </w:r>
    </w:p>
    <w:p w:rsidR="007E4A1C" w:rsidRPr="007E4A1C" w:rsidRDefault="007E4A1C" w:rsidP="007E4A1C">
      <w:pPr>
        <w:pStyle w:val="PR1"/>
      </w:pPr>
      <w:r w:rsidRPr="007E4A1C">
        <w:t>It is the intent of MSU that all toilet room accessories and their methods of installation shall meet the latest ICC/ANSI A117.1 standards to provide barrier free access and use by mobility and physically impaired users.</w:t>
      </w:r>
      <w:bookmarkStart w:id="0" w:name="_GoBack"/>
      <w:bookmarkEnd w:id="0"/>
    </w:p>
    <w:p w:rsidR="00F95BC0" w:rsidRPr="007E4A1C" w:rsidRDefault="00F95BC0">
      <w:pPr>
        <w:pStyle w:val="ART"/>
      </w:pPr>
      <w:r w:rsidRPr="007E4A1C">
        <w:t>WARRANTY</w:t>
      </w:r>
    </w:p>
    <w:p w:rsidR="00F95BC0" w:rsidRDefault="00F95BC0">
      <w:pPr>
        <w:pStyle w:val="PR1"/>
      </w:pPr>
      <w:r>
        <w:t>Special Mirror Warranty:  Manufacturer's standard form in which manufacturer agrees to replace mirrors that develop visible silver spoilage defects and that fail in materials or workmanship within specified warranty period.</w:t>
      </w:r>
    </w:p>
    <w:p w:rsidR="00F95BC0" w:rsidRDefault="00F95BC0">
      <w:pPr>
        <w:pStyle w:val="PR2"/>
        <w:spacing w:before="240"/>
      </w:pPr>
      <w:r>
        <w:t>Warranty Period:  15 years from date of Substantial Completion.</w:t>
      </w:r>
    </w:p>
    <w:p w:rsidR="00F95BC0" w:rsidRDefault="00F95BC0">
      <w:pPr>
        <w:pStyle w:val="PRT"/>
      </w:pPr>
      <w:r>
        <w:t>PRODUCTS</w:t>
      </w:r>
    </w:p>
    <w:p w:rsidR="00F95BC0" w:rsidRDefault="00F95BC0">
      <w:pPr>
        <w:pStyle w:val="ART"/>
      </w:pPr>
      <w:r>
        <w:t>MATERIALS</w:t>
      </w:r>
    </w:p>
    <w:p w:rsidR="00F95BC0" w:rsidRDefault="00F95BC0">
      <w:pPr>
        <w:pStyle w:val="PR1"/>
      </w:pPr>
      <w:r>
        <w:t xml:space="preserve">Stainless Steel:  ASTM A 666, Type 304, </w:t>
      </w:r>
      <w:r>
        <w:rPr>
          <w:rStyle w:val="IP"/>
        </w:rPr>
        <w:t>0.0312-inch</w:t>
      </w:r>
      <w:r>
        <w:t xml:space="preserve"> minimum nominal thickness, unless otherwise indicated.</w:t>
      </w:r>
    </w:p>
    <w:p w:rsidR="00F95BC0" w:rsidRDefault="00F95BC0">
      <w:pPr>
        <w:pStyle w:val="PR1"/>
      </w:pPr>
      <w:r>
        <w:t xml:space="preserve">Brass:  ASTM B 19 flat products; </w:t>
      </w:r>
      <w:r>
        <w:rPr>
          <w:rStyle w:val="IP"/>
        </w:rPr>
        <w:t>ASTM B 16</w:t>
      </w:r>
      <w:r>
        <w:t>, rods, shapes, forgings, and flat products with finished edges; or ASTM B 30, castings.</w:t>
      </w:r>
    </w:p>
    <w:p w:rsidR="00F95BC0" w:rsidRDefault="00F95BC0">
      <w:pPr>
        <w:pStyle w:val="PR1"/>
      </w:pPr>
      <w:r>
        <w:t>Galvanized Steel Mounting Devices:  ASTM A 153/A 153M, hot-dip galvanized after fabrication.</w:t>
      </w:r>
    </w:p>
    <w:p w:rsidR="00F95BC0" w:rsidRDefault="00F95BC0">
      <w:pPr>
        <w:pStyle w:val="PR1"/>
      </w:pPr>
      <w:r>
        <w:t>Fasteners:  Screws, bolts, and other devices of same material as accessory unit and tamper-and-theft resistant where exposed, and of galvanized steel where concealed.</w:t>
      </w:r>
    </w:p>
    <w:p w:rsidR="00F95BC0" w:rsidRDefault="00F95BC0">
      <w:pPr>
        <w:pStyle w:val="PR1"/>
      </w:pPr>
      <w:r>
        <w:t>Chrome Plating:  ASTM B 456, Service Condition Number SC 2 (moderate service).</w:t>
      </w:r>
    </w:p>
    <w:p w:rsidR="00F95BC0" w:rsidRDefault="00F95BC0">
      <w:pPr>
        <w:pStyle w:val="PR1"/>
      </w:pPr>
      <w:r>
        <w:lastRenderedPageBreak/>
        <w:t>Mirrors:  ASTM C 1503, Mirror Glazing Quality, clear-glass mirrors, nominal 6.0 mm thick.</w:t>
      </w:r>
    </w:p>
    <w:p w:rsidR="00F95BC0" w:rsidRDefault="00F95BC0">
      <w:pPr>
        <w:pStyle w:val="ART"/>
      </w:pPr>
      <w:r>
        <w:t>WASHROOM ACCESSORIES</w:t>
      </w:r>
    </w:p>
    <w:p w:rsidR="00F95BC0" w:rsidRDefault="00F95BC0">
      <w:pPr>
        <w:pStyle w:val="PR1"/>
      </w:pPr>
      <w:r>
        <w:t>Manufacturers:  Subject to compliance with requirements, provide products by one of the following:</w:t>
      </w:r>
    </w:p>
    <w:p w:rsidR="00F95BC0" w:rsidRDefault="00F95BC0">
      <w:pPr>
        <w:pStyle w:val="PR2"/>
        <w:spacing w:before="240"/>
      </w:pPr>
      <w:r>
        <w:t>A &amp; J Washroom Accessories, Inc.</w:t>
      </w:r>
    </w:p>
    <w:p w:rsidR="00F95BC0" w:rsidRDefault="00F95BC0">
      <w:pPr>
        <w:pStyle w:val="PR2"/>
      </w:pPr>
      <w:r>
        <w:t>American Specialties, Inc.</w:t>
      </w:r>
    </w:p>
    <w:p w:rsidR="00F95BC0" w:rsidRDefault="00F95BC0">
      <w:pPr>
        <w:pStyle w:val="PR2"/>
      </w:pPr>
      <w:r>
        <w:t>Bobrick Washroom Equipment, Inc.</w:t>
      </w:r>
    </w:p>
    <w:p w:rsidR="00F95BC0" w:rsidRDefault="00F95BC0">
      <w:pPr>
        <w:pStyle w:val="PR2"/>
      </w:pPr>
      <w:r>
        <w:t>Bradley Corporation.</w:t>
      </w:r>
    </w:p>
    <w:p w:rsidR="00F95BC0" w:rsidRDefault="00F95BC0">
      <w:pPr>
        <w:pStyle w:val="PR1"/>
      </w:pPr>
      <w:r>
        <w:t>Toilet Tissue (Roll) Dispenser.</w:t>
      </w:r>
    </w:p>
    <w:p w:rsidR="00F95BC0" w:rsidRDefault="00F95BC0">
      <w:pPr>
        <w:pStyle w:val="PR2"/>
        <w:spacing w:before="240"/>
      </w:pPr>
      <w:r>
        <w:t>Description:  Double or triple roll locking type; type 304 stainless steel, # 4 finish as manufactured by Royce Rolls Ringer Co.  Locks will be furnished by M.S.U.  See Standard Drawing 17-10815 – TRIPLE ROLL TOILET PAPER HOLDER.</w:t>
      </w:r>
    </w:p>
    <w:p w:rsidR="00F95BC0" w:rsidRDefault="00F95BC0">
      <w:pPr>
        <w:pStyle w:val="PR1"/>
      </w:pPr>
      <w:r>
        <w:t>Waste Receptacle (Bobrick B275 or approved equal).</w:t>
      </w:r>
    </w:p>
    <w:p w:rsidR="00F95BC0" w:rsidRDefault="00F95BC0">
      <w:pPr>
        <w:pStyle w:val="PR2"/>
        <w:spacing w:before="240"/>
      </w:pPr>
      <w:r>
        <w:t>Description:  Surface mounted stainless steel open type with removable heavy-duty vinyl liner.</w:t>
      </w:r>
    </w:p>
    <w:p w:rsidR="00F95BC0" w:rsidRDefault="00F95BC0">
      <w:pPr>
        <w:pStyle w:val="PR1"/>
      </w:pPr>
      <w:r>
        <w:t>Grab Bar   (Bobrick B6806 or approved equal)</w:t>
      </w:r>
      <w:r>
        <w:tab/>
      </w:r>
      <w:r>
        <w:tab/>
      </w:r>
    </w:p>
    <w:p w:rsidR="00F95BC0" w:rsidRDefault="00F95BC0">
      <w:pPr>
        <w:pStyle w:val="PR2"/>
        <w:spacing w:before="240"/>
      </w:pPr>
      <w:r>
        <w:t>Mounting:  Flanges with concealed fasteners.</w:t>
      </w:r>
    </w:p>
    <w:p w:rsidR="00F95BC0" w:rsidRDefault="00F95BC0">
      <w:pPr>
        <w:pStyle w:val="PR2"/>
      </w:pPr>
      <w:r>
        <w:t xml:space="preserve">Material:  Stainless steel, </w:t>
      </w:r>
      <w:r>
        <w:rPr>
          <w:rStyle w:val="IP"/>
        </w:rPr>
        <w:t>0.05 inch</w:t>
      </w:r>
      <w:r>
        <w:t xml:space="preserve"> thick with smooth, No. 4, satin finish.</w:t>
      </w:r>
    </w:p>
    <w:p w:rsidR="00F95BC0" w:rsidRDefault="00F95BC0">
      <w:pPr>
        <w:pStyle w:val="PR2"/>
        <w:outlineLvl w:val="9"/>
      </w:pPr>
      <w:r>
        <w:t xml:space="preserve">Outside Diameter:  </w:t>
      </w:r>
      <w:r>
        <w:rPr>
          <w:rStyle w:val="IP"/>
        </w:rPr>
        <w:t>1-1/4 inches</w:t>
      </w:r>
      <w:r>
        <w:t xml:space="preserve"> in women’s toilet rooms, </w:t>
      </w:r>
      <w:r>
        <w:rPr>
          <w:rStyle w:val="IP"/>
        </w:rPr>
        <w:t>1-1/2 inches</w:t>
      </w:r>
      <w:r>
        <w:t xml:space="preserve"> in all other areas.</w:t>
      </w:r>
    </w:p>
    <w:p w:rsidR="00F95BC0" w:rsidRDefault="00F95BC0">
      <w:pPr>
        <w:pStyle w:val="PR1"/>
      </w:pPr>
      <w:r>
        <w:t xml:space="preserve">Sanitary Napkin Dispenser (Bobrick B282-25 (surface mount)). No exceptions. </w:t>
      </w:r>
    </w:p>
    <w:p w:rsidR="00F95BC0" w:rsidRDefault="00F95BC0">
      <w:pPr>
        <w:pStyle w:val="PR2"/>
        <w:spacing w:before="240"/>
      </w:pPr>
      <w:r>
        <w:t>Type:  Sanitary napkin and tampon.</w:t>
      </w:r>
    </w:p>
    <w:p w:rsidR="00F95BC0" w:rsidRDefault="00F95BC0">
      <w:pPr>
        <w:pStyle w:val="PR2"/>
      </w:pPr>
      <w:r>
        <w:t>Operation:  Single coin (25 cents) replaceable coin mechanism</w:t>
      </w:r>
      <w:proofErr w:type="gramStart"/>
      <w:r>
        <w:t>..</w:t>
      </w:r>
      <w:proofErr w:type="gramEnd"/>
    </w:p>
    <w:p w:rsidR="00F95BC0" w:rsidRDefault="00F95BC0">
      <w:pPr>
        <w:pStyle w:val="PR2"/>
      </w:pPr>
      <w:r>
        <w:t>Exposed Material and Finish:  Stainless steel, No. 4 finish (satin).</w:t>
      </w:r>
    </w:p>
    <w:p w:rsidR="00F95BC0" w:rsidRDefault="00F95BC0">
      <w:pPr>
        <w:pStyle w:val="PR2"/>
      </w:pPr>
      <w:r>
        <w:t>Lockset:  Corbin cabinet locks</w:t>
      </w:r>
      <w:proofErr w:type="gramStart"/>
      <w:r>
        <w:t>..</w:t>
      </w:r>
      <w:proofErr w:type="gramEnd"/>
    </w:p>
    <w:p w:rsidR="00F95BC0" w:rsidRDefault="00F95BC0">
      <w:pPr>
        <w:pStyle w:val="PR1"/>
      </w:pPr>
      <w:r>
        <w:t xml:space="preserve">Sanitary-Napkin Disposal Unit (Bobrick B270 </w:t>
      </w:r>
      <w:bookmarkStart w:id="1" w:name="OLE_LINK1"/>
      <w:r>
        <w:t>or approved equal</w:t>
      </w:r>
      <w:bookmarkEnd w:id="1"/>
      <w:r>
        <w:t>).</w:t>
      </w:r>
    </w:p>
    <w:p w:rsidR="00F95BC0" w:rsidRDefault="00F95BC0">
      <w:pPr>
        <w:pStyle w:val="PR2"/>
        <w:spacing w:before="240"/>
      </w:pPr>
      <w:r>
        <w:t>Mounting:  Surface mounted.</w:t>
      </w:r>
    </w:p>
    <w:p w:rsidR="00F95BC0" w:rsidRDefault="00F95BC0">
      <w:pPr>
        <w:pStyle w:val="PR2"/>
      </w:pPr>
      <w:r>
        <w:t>Door or Cover:  Self-closing disposal-opening cover with full-length piano hinge and convenient handle for easy use.</w:t>
      </w:r>
    </w:p>
    <w:p w:rsidR="00F95BC0" w:rsidRDefault="00F95BC0">
      <w:pPr>
        <w:pStyle w:val="PR2"/>
      </w:pPr>
      <w:r>
        <w:t>Material and Finish:  Stainless steel, No. 4 finish (satin).</w:t>
      </w:r>
    </w:p>
    <w:p w:rsidR="00F95BC0" w:rsidRDefault="00F95BC0">
      <w:pPr>
        <w:pStyle w:val="PR1"/>
      </w:pPr>
      <w:r>
        <w:t>Mirror Unit  (Bobrick B-2908 or approved equal)</w:t>
      </w:r>
    </w:p>
    <w:p w:rsidR="00F95BC0" w:rsidRDefault="00F95BC0">
      <w:pPr>
        <w:pStyle w:val="PR2"/>
        <w:spacing w:before="240"/>
      </w:pPr>
      <w:r>
        <w:t xml:space="preserve">Frame:  Stainless-steel angle, </w:t>
      </w:r>
      <w:r>
        <w:rPr>
          <w:rStyle w:val="IP"/>
        </w:rPr>
        <w:t>0.05 inch</w:t>
      </w:r>
      <w:r>
        <w:t xml:space="preserve"> thick.</w:t>
      </w:r>
    </w:p>
    <w:p w:rsidR="00F95BC0" w:rsidRDefault="00F95BC0">
      <w:pPr>
        <w:pStyle w:val="PR3"/>
        <w:outlineLvl w:val="9"/>
      </w:pPr>
      <w:r>
        <w:t>Corners:  Welded and ground smooth.</w:t>
      </w:r>
    </w:p>
    <w:p w:rsidR="00F95BC0" w:rsidRDefault="00F95BC0">
      <w:pPr>
        <w:pStyle w:val="PR2"/>
        <w:spacing w:before="240"/>
        <w:outlineLvl w:val="9"/>
      </w:pPr>
      <w:r>
        <w:t>Hangers:  Produce rigid, tamper- and theft-resistant installation, using method indicated below.</w:t>
      </w:r>
    </w:p>
    <w:p w:rsidR="00F95BC0" w:rsidRDefault="00F95BC0">
      <w:pPr>
        <w:pStyle w:val="PR3"/>
        <w:outlineLvl w:val="9"/>
      </w:pPr>
      <w:r>
        <w:t>Wall bracket of galvanized steel, equipped with concealed locking devices.</w:t>
      </w:r>
    </w:p>
    <w:p w:rsidR="00F95BC0" w:rsidRDefault="00F95BC0">
      <w:pPr>
        <w:pStyle w:val="ART"/>
      </w:pPr>
      <w:r>
        <w:lastRenderedPageBreak/>
        <w:t>SHOWER ROOM ACCESSORIES</w:t>
      </w:r>
    </w:p>
    <w:p w:rsidR="00F95BC0" w:rsidRDefault="00F95BC0">
      <w:pPr>
        <w:pStyle w:val="PR1"/>
      </w:pPr>
      <w:r>
        <w:t>Manufacturers:  Subject to compliance with requirements, provide products by one of the following:</w:t>
      </w:r>
    </w:p>
    <w:p w:rsidR="00F95BC0" w:rsidRDefault="00F95BC0">
      <w:pPr>
        <w:pStyle w:val="PR2"/>
        <w:spacing w:before="240"/>
      </w:pPr>
      <w:r>
        <w:t>A &amp; J Washroom Accessories, Inc.</w:t>
      </w:r>
    </w:p>
    <w:p w:rsidR="00F95BC0" w:rsidRDefault="00F95BC0">
      <w:pPr>
        <w:pStyle w:val="PR2"/>
      </w:pPr>
      <w:r>
        <w:t>American Specialties, Inc.</w:t>
      </w:r>
    </w:p>
    <w:p w:rsidR="00F95BC0" w:rsidRDefault="00F95BC0">
      <w:pPr>
        <w:pStyle w:val="PR2"/>
      </w:pPr>
      <w:r>
        <w:t>Bobrick Washroom Equipment, Inc.</w:t>
      </w:r>
    </w:p>
    <w:p w:rsidR="00F95BC0" w:rsidRDefault="00F95BC0">
      <w:pPr>
        <w:pStyle w:val="PR2"/>
      </w:pPr>
      <w:r>
        <w:t>Bradley Corporation.</w:t>
      </w:r>
    </w:p>
    <w:p w:rsidR="00F95BC0" w:rsidRDefault="00F95BC0">
      <w:pPr>
        <w:pStyle w:val="PR1"/>
      </w:pPr>
      <w:r>
        <w:t>Shower Curtain Rod  (Bobrick 6047 or approved equal):</w:t>
      </w:r>
    </w:p>
    <w:p w:rsidR="00F95BC0" w:rsidRDefault="00F95BC0">
      <w:pPr>
        <w:pStyle w:val="PR2"/>
        <w:spacing w:before="240"/>
      </w:pPr>
      <w:r>
        <w:t xml:space="preserve">Description:  </w:t>
      </w:r>
      <w:r>
        <w:rPr>
          <w:rStyle w:val="IP"/>
        </w:rPr>
        <w:t>1-1/4-inch</w:t>
      </w:r>
      <w:r>
        <w:t xml:space="preserve"> OD; fabricated from nominal </w:t>
      </w:r>
      <w:r>
        <w:rPr>
          <w:rStyle w:val="IP"/>
        </w:rPr>
        <w:t>0.05-inch-</w:t>
      </w:r>
      <w:r>
        <w:t xml:space="preserve"> thick stainless steel.</w:t>
      </w:r>
    </w:p>
    <w:p w:rsidR="00F95BC0" w:rsidRDefault="00F95BC0">
      <w:pPr>
        <w:pStyle w:val="PR2"/>
      </w:pPr>
      <w:r>
        <w:t>Mounting Flanges:  Stainless-steel flanges designed for exposed fasteners.</w:t>
      </w:r>
    </w:p>
    <w:p w:rsidR="00F95BC0" w:rsidRDefault="00F95BC0">
      <w:pPr>
        <w:pStyle w:val="PR2"/>
      </w:pPr>
      <w:r>
        <w:t>Finish:  No. 4 (satin).</w:t>
      </w:r>
    </w:p>
    <w:p w:rsidR="00F95BC0" w:rsidRDefault="00F95BC0">
      <w:pPr>
        <w:pStyle w:val="PR1"/>
      </w:pPr>
      <w:r>
        <w:t>Folding Shower Seat   (Bobrick B-5181 or approved equal):</w:t>
      </w:r>
    </w:p>
    <w:p w:rsidR="00F95BC0" w:rsidRDefault="00F95BC0">
      <w:pPr>
        <w:pStyle w:val="PR2"/>
        <w:spacing w:before="240"/>
      </w:pPr>
      <w:r>
        <w:t xml:space="preserve">Configuration: Folding, reversible for left or right hand installation in the field. </w:t>
      </w:r>
    </w:p>
    <w:p w:rsidR="00F95BC0" w:rsidRDefault="00F95BC0">
      <w:pPr>
        <w:pStyle w:val="PR2"/>
      </w:pPr>
      <w:r>
        <w:t xml:space="preserve">Seat:  One-piece, ½” thick, solid phenolic with matte-finish. Integral slots for water drainage.  </w:t>
      </w:r>
    </w:p>
    <w:p w:rsidR="00F95BC0" w:rsidRDefault="00F95BC0">
      <w:pPr>
        <w:pStyle w:val="PR2"/>
      </w:pPr>
      <w:r>
        <w:t>Mounting Mechanism:  Stainless steel, No. 4 finish (satin), self-locking.</w:t>
      </w:r>
    </w:p>
    <w:p w:rsidR="00F95BC0" w:rsidRDefault="00F95BC0">
      <w:pPr>
        <w:pStyle w:val="ART"/>
      </w:pPr>
      <w:r>
        <w:t>FABRICATION</w:t>
      </w:r>
    </w:p>
    <w:p w:rsidR="00F95BC0" w:rsidRDefault="00F95BC0">
      <w:pPr>
        <w:pStyle w:val="PR1"/>
      </w:pPr>
      <w:r>
        <w:t>General:  Fabricate units with tight seams and joints, and exposed edges rolled.  Hang doors and access panels with full-length, continuous hinges.  Equip units for concealed anchorage and with corrosion-resistant backing plates.</w:t>
      </w:r>
    </w:p>
    <w:p w:rsidR="00F95BC0" w:rsidRDefault="00F95BC0">
      <w:pPr>
        <w:pStyle w:val="PR1"/>
      </w:pPr>
      <w:r>
        <w:t>Keys:  All locks and keys to be provided by M.S.U. Key Shop.</w:t>
      </w:r>
    </w:p>
    <w:p w:rsidR="00F95BC0" w:rsidRDefault="00F95BC0">
      <w:pPr>
        <w:pStyle w:val="PRT"/>
      </w:pPr>
      <w:r>
        <w:t>EXECUTION</w:t>
      </w:r>
    </w:p>
    <w:p w:rsidR="00F95BC0" w:rsidRDefault="00F95BC0">
      <w:pPr>
        <w:pStyle w:val="ART"/>
      </w:pPr>
      <w:r>
        <w:t>INSTALLATION</w:t>
      </w:r>
    </w:p>
    <w:p w:rsidR="00F95BC0" w:rsidRDefault="00F95BC0">
      <w:pPr>
        <w:pStyle w:val="PR1"/>
      </w:pPr>
      <w:r>
        <w:t>Install accessories according to manufacturers' written instructions, using fasteners appropriate to substrate indicated and recommended by unit manufacturer.  Install units level, plumb, and firmly anchored in locations and at heights indicated.</w:t>
      </w:r>
    </w:p>
    <w:p w:rsidR="00F95BC0" w:rsidRDefault="00F95BC0">
      <w:pPr>
        <w:pStyle w:val="PR1"/>
      </w:pPr>
      <w:r>
        <w:t xml:space="preserve">Grab Bars:  Install to withstand a load in any direction of at least </w:t>
      </w:r>
      <w:r>
        <w:rPr>
          <w:rStyle w:val="IP"/>
        </w:rPr>
        <w:t>250 lbf</w:t>
      </w:r>
      <w:r>
        <w:t>, when tested according to method in ASTM F 446.</w:t>
      </w:r>
    </w:p>
    <w:p w:rsidR="00F95BC0" w:rsidRDefault="00F95BC0">
      <w:pPr>
        <w:pStyle w:val="PR2"/>
        <w:spacing w:before="240"/>
      </w:pPr>
      <w:r>
        <w:t>Attach concealed anchors for masonry walls with toggle bolts.</w:t>
      </w:r>
    </w:p>
    <w:p w:rsidR="00F95BC0" w:rsidRDefault="00F95BC0">
      <w:pPr>
        <w:pStyle w:val="PR2"/>
      </w:pPr>
      <w:r>
        <w:t>Bolt mounting plates to steel plate reinforcing in stud partitions, to expansion shields in concrete walls, to reinforcement in metal partitions, and to thru-bolts welded to back mounting plate, unless otherwise specified.  Where back mounting plate on thru-bolts will be exposed to view, anchor the mounting plate to the wall with toggle bolts or concealed anchors.</w:t>
      </w:r>
    </w:p>
    <w:p w:rsidR="00F95BC0" w:rsidRDefault="00F95BC0">
      <w:pPr>
        <w:pStyle w:val="PR2"/>
      </w:pPr>
      <w:r>
        <w:t>Install at 33” from the finished floor to the top of the bar.</w:t>
      </w:r>
    </w:p>
    <w:p w:rsidR="00F95BC0" w:rsidRDefault="00F95BC0">
      <w:pPr>
        <w:pStyle w:val="PR1"/>
      </w:pPr>
      <w:r>
        <w:lastRenderedPageBreak/>
        <w:t>Mirrors:</w:t>
      </w:r>
    </w:p>
    <w:p w:rsidR="00F95BC0" w:rsidRDefault="00F95BC0">
      <w:pPr>
        <w:pStyle w:val="PR2"/>
        <w:spacing w:before="240"/>
      </w:pPr>
      <w:r>
        <w:t>Anchor wall hangers to wall with approved fasteners.  Anchor frame to wall hangers with concealed setscrews.</w:t>
      </w:r>
    </w:p>
    <w:p w:rsidR="00F95BC0" w:rsidRDefault="00F95BC0">
      <w:pPr>
        <w:pStyle w:val="PR2"/>
        <w:outlineLvl w:val="9"/>
      </w:pPr>
      <w:r>
        <w:t>Lower edge of mirror will be installed no higher than 40” above the finished floor.</w:t>
      </w:r>
    </w:p>
    <w:p w:rsidR="00F95BC0" w:rsidRDefault="00F95BC0">
      <w:pPr>
        <w:pStyle w:val="PR1"/>
      </w:pPr>
      <w:r>
        <w:t>Dispensers and Receptacles-General:</w:t>
      </w:r>
    </w:p>
    <w:p w:rsidR="00F95BC0" w:rsidRDefault="00F95BC0">
      <w:pPr>
        <w:pStyle w:val="PR2"/>
        <w:spacing w:before="240"/>
      </w:pPr>
      <w:r>
        <w:t>Screw cabinets of recessed units to wall recesses.</w:t>
      </w:r>
    </w:p>
    <w:p w:rsidR="00F95BC0" w:rsidRDefault="00F95BC0">
      <w:pPr>
        <w:pStyle w:val="PR1"/>
      </w:pPr>
      <w:r>
        <w:t>Sanitary Napkin Dispensers:</w:t>
      </w:r>
    </w:p>
    <w:p w:rsidR="00F95BC0" w:rsidRDefault="00F95BC0">
      <w:pPr>
        <w:pStyle w:val="PR2"/>
        <w:spacing w:before="240"/>
      </w:pPr>
      <w:r>
        <w:t xml:space="preserve">In classroom, </w:t>
      </w:r>
      <w:proofErr w:type="gramStart"/>
      <w:r>
        <w:t>office, and laboratory type buildings, provide</w:t>
      </w:r>
      <w:proofErr w:type="gramEnd"/>
      <w:r>
        <w:t xml:space="preserve"> one surface mounted dispenser in one first floor women’s room.</w:t>
      </w:r>
    </w:p>
    <w:p w:rsidR="00F95BC0" w:rsidRDefault="00F95BC0">
      <w:pPr>
        <w:pStyle w:val="PR2"/>
      </w:pPr>
      <w:r>
        <w:t>In athletic facilities, team rooms, etc.</w:t>
      </w:r>
      <w:proofErr w:type="gramStart"/>
      <w:r>
        <w:t>,</w:t>
      </w:r>
      <w:proofErr w:type="gramEnd"/>
      <w:r>
        <w:t xml:space="preserve"> provide one surface mounted dispenser in each women’s room.</w:t>
      </w:r>
    </w:p>
    <w:p w:rsidR="00F95BC0" w:rsidRDefault="00F95BC0">
      <w:pPr>
        <w:pStyle w:val="PR2"/>
      </w:pPr>
      <w:r>
        <w:t>In public restrooms in auditorium and arena type buildings, prove one recessed dispenser in each women’s room.</w:t>
      </w:r>
    </w:p>
    <w:p w:rsidR="00F95BC0" w:rsidRDefault="00F95BC0">
      <w:pPr>
        <w:pStyle w:val="PR2"/>
      </w:pPr>
      <w:r>
        <w:t>Install dispenser with coin slot and operating buttons or levers no higher than 40” above the finished floor.</w:t>
      </w:r>
    </w:p>
    <w:p w:rsidR="00F95BC0" w:rsidRDefault="00F95BC0">
      <w:pPr>
        <w:pStyle w:val="PR1"/>
      </w:pPr>
      <w:r>
        <w:t>Sanitary Napkin Receptacles:</w:t>
      </w:r>
    </w:p>
    <w:p w:rsidR="00F95BC0" w:rsidRDefault="00F95BC0">
      <w:pPr>
        <w:pStyle w:val="PR2"/>
        <w:spacing w:before="240"/>
      </w:pPr>
      <w:r>
        <w:t>Unless otherwise indicated, install one sanitary napkin receptacle in each toilet compartment in women’s toilet rooms.</w:t>
      </w:r>
    </w:p>
    <w:p w:rsidR="00F95BC0" w:rsidRDefault="00F95BC0">
      <w:pPr>
        <w:pStyle w:val="PR2"/>
        <w:outlineLvl w:val="9"/>
      </w:pPr>
      <w:r>
        <w:t>Install 20” from back of compartment with top at 29” above the finished floor.</w:t>
      </w:r>
    </w:p>
    <w:p w:rsidR="00F95BC0" w:rsidRDefault="00F95BC0">
      <w:pPr>
        <w:pStyle w:val="PR1"/>
      </w:pPr>
      <w:r>
        <w:t>Toilet Paper Holders:</w:t>
      </w:r>
    </w:p>
    <w:p w:rsidR="00F95BC0" w:rsidRDefault="00F95BC0">
      <w:pPr>
        <w:pStyle w:val="PR2"/>
        <w:spacing w:before="240"/>
      </w:pPr>
      <w:r>
        <w:t>Mounting height:  40 inches above finished floor and 9</w:t>
      </w:r>
      <w:proofErr w:type="gramStart"/>
      <w:r>
        <w:t>“ in</w:t>
      </w:r>
      <w:proofErr w:type="gramEnd"/>
      <w:r>
        <w:t xml:space="preserve"> front of toilet.</w:t>
      </w:r>
    </w:p>
    <w:p w:rsidR="00F95BC0" w:rsidRDefault="00F95BC0">
      <w:pPr>
        <w:pStyle w:val="PR1"/>
      </w:pPr>
      <w:r>
        <w:t>Paper Towel Dispensers:</w:t>
      </w:r>
    </w:p>
    <w:p w:rsidR="00F95BC0" w:rsidRDefault="00F95BC0">
      <w:pPr>
        <w:pStyle w:val="PR2"/>
        <w:spacing w:before="240"/>
      </w:pPr>
      <w:r>
        <w:t>Install one dispenser per two lavatories.  At least one towel dispenser will be immediately adjacent to the barrier free lavatory.</w:t>
      </w:r>
    </w:p>
    <w:p w:rsidR="00F95BC0" w:rsidRDefault="00F95BC0">
      <w:pPr>
        <w:pStyle w:val="PR2"/>
        <w:outlineLvl w:val="9"/>
      </w:pPr>
      <w:r>
        <w:t>Install dispenser with operating crank at 40” above the finished floor.</w:t>
      </w:r>
    </w:p>
    <w:p w:rsidR="00F95BC0" w:rsidRDefault="00F95BC0">
      <w:pPr>
        <w:pStyle w:val="PR1"/>
      </w:pPr>
      <w:smartTag w:uri="urn:schemas-microsoft-com:office:smarttags" w:element="PlaceName">
        <w:smartTag w:uri="urn:schemas-microsoft-com:office:smarttags" w:element="place">
          <w:r>
            <w:t>Shower</w:t>
          </w:r>
        </w:smartTag>
        <w:r>
          <w:t xml:space="preserve"> </w:t>
        </w:r>
        <w:smartTag w:uri="urn:schemas-microsoft-com:office:smarttags" w:element="PlaceType">
          <w:r>
            <w:t>Accessories</w:t>
          </w:r>
        </w:smartTag>
        <w:r>
          <w:t xml:space="preserve"> </w:t>
        </w:r>
        <w:smartTag w:uri="urn:schemas-microsoft-com:office:smarttags" w:element="PlaceType">
          <w:r>
            <w:t>Mounting</w:t>
          </w:r>
        </w:smartTag>
        <w:r>
          <w:t xml:space="preserve"> </w:t>
        </w:r>
        <w:smartTag w:uri="urn:schemas-microsoft-com:office:smarttags" w:element="PlaceType">
          <w:r>
            <w:t>Heights</w:t>
          </w:r>
        </w:smartTag>
      </w:smartTag>
      <w:r>
        <w:t>:</w:t>
      </w:r>
    </w:p>
    <w:p w:rsidR="00F95BC0" w:rsidRDefault="00F95BC0">
      <w:pPr>
        <w:pStyle w:val="PR2"/>
        <w:spacing w:before="240"/>
      </w:pPr>
      <w:r>
        <w:t>Towel bars: 48 inches to center of bar.</w:t>
      </w:r>
    </w:p>
    <w:p w:rsidR="00F95BC0" w:rsidRDefault="00F95BC0">
      <w:pPr>
        <w:pStyle w:val="PR2"/>
      </w:pPr>
      <w:r>
        <w:t>Robe hooks: 60 inches to center of plate.  In accessible shower, a second hook should be mounted at 40” to center of plate.</w:t>
      </w:r>
    </w:p>
    <w:p w:rsidR="00F95BC0" w:rsidRDefault="00F95BC0">
      <w:pPr>
        <w:pStyle w:val="PR2"/>
      </w:pPr>
      <w:r>
        <w:t>Curtain rods: 74 inches to center of rod.</w:t>
      </w:r>
    </w:p>
    <w:p w:rsidR="00F95BC0" w:rsidRDefault="00F95BC0">
      <w:pPr>
        <w:pStyle w:val="PR2"/>
      </w:pPr>
      <w:r>
        <w:t>Shower seat: 18 inches to top of seat in down position.</w:t>
      </w:r>
    </w:p>
    <w:p w:rsidR="00F95BC0" w:rsidRDefault="00F95BC0">
      <w:pPr>
        <w:pStyle w:val="ART"/>
      </w:pPr>
      <w:r>
        <w:t>ADJUSTING AND CLEANING</w:t>
      </w:r>
    </w:p>
    <w:p w:rsidR="00F95BC0" w:rsidRDefault="00F95BC0">
      <w:pPr>
        <w:pStyle w:val="PR1"/>
      </w:pPr>
      <w:r>
        <w:t>Adjust accessories for unencumbered, smooth operation.  Replace damaged or defective items.</w:t>
      </w:r>
    </w:p>
    <w:p w:rsidR="00F95BC0" w:rsidRDefault="00F95BC0">
      <w:pPr>
        <w:pStyle w:val="PR1"/>
      </w:pPr>
      <w:r>
        <w:t>Remove temporary labels and protective coatings.</w:t>
      </w:r>
    </w:p>
    <w:p w:rsidR="00F95BC0" w:rsidRDefault="00F95BC0">
      <w:pPr>
        <w:pStyle w:val="PR1"/>
      </w:pPr>
      <w:r>
        <w:lastRenderedPageBreak/>
        <w:t>Clean and polish exposed surfaces according to manufacturer's written recommendations.</w:t>
      </w:r>
    </w:p>
    <w:p w:rsidR="00F95BC0" w:rsidRDefault="00F95BC0">
      <w:pPr>
        <w:pStyle w:val="EOS"/>
      </w:pPr>
      <w:r>
        <w:t>END OF SECTION 102810</w:t>
      </w:r>
    </w:p>
    <w:sectPr w:rsidR="00F95BC0" w:rsidSect="009E13D2">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7B" w:rsidRDefault="006D477B">
      <w:r>
        <w:separator/>
      </w:r>
    </w:p>
  </w:endnote>
  <w:endnote w:type="continuationSeparator" w:id="0">
    <w:p w:rsidR="006D477B" w:rsidRDefault="006D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E8" w:rsidRDefault="005E7FE8">
    <w:pPr>
      <w:pStyle w:val="FTR"/>
      <w:rPr>
        <w:rStyle w:val="NAM"/>
      </w:rPr>
    </w:pPr>
    <w:r>
      <w:rPr>
        <w:rStyle w:val="NAM"/>
      </w:rPr>
      <w:t>102810ToiletAndBathAccessories.doc</w:t>
    </w:r>
    <w:r w:rsidR="00EB383D">
      <w:rPr>
        <w:rStyle w:val="NAM"/>
      </w:rPr>
      <w:t>x</w:t>
    </w:r>
  </w:p>
  <w:p w:rsidR="00F95BC0" w:rsidRDefault="00C537FF">
    <w:pPr>
      <w:pStyle w:val="FTR"/>
    </w:pPr>
    <w:r>
      <w:rPr>
        <w:rStyle w:val="NAM"/>
      </w:rPr>
      <w:t>Rev.01/01/2009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7B" w:rsidRDefault="006D477B">
      <w:r>
        <w:separator/>
      </w:r>
    </w:p>
  </w:footnote>
  <w:footnote w:type="continuationSeparator" w:id="0">
    <w:p w:rsidR="006D477B" w:rsidRDefault="006D4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C0" w:rsidRDefault="00F95BC0">
    <w:pPr>
      <w:pStyle w:val="HDR"/>
      <w:rPr>
        <w:rStyle w:val="CPR"/>
      </w:rPr>
    </w:pPr>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r>
      <w:rPr>
        <w:rStyle w:val="CPR"/>
      </w:rPr>
      <w:tab/>
    </w:r>
    <w:r>
      <w:rPr>
        <w:rStyle w:val="CPR"/>
      </w:rPr>
      <w:tab/>
      <w:t xml:space="preserve">TOILET AND </w:t>
    </w:r>
    <w:smartTag w:uri="urn:schemas-microsoft-com:office:smarttags" w:element="place">
      <w:smartTag w:uri="urn:schemas-microsoft-com:office:smarttags" w:element="City">
        <w:r>
          <w:rPr>
            <w:rStyle w:val="CPR"/>
          </w:rPr>
          <w:t>BATH</w:t>
        </w:r>
      </w:smartTag>
    </w:smartTag>
    <w:r>
      <w:rPr>
        <w:rStyle w:val="CPR"/>
      </w:rPr>
      <w:t xml:space="preserve"> ACCESSORIES</w:t>
    </w:r>
  </w:p>
  <w:p w:rsidR="00F95BC0" w:rsidRDefault="00F95BC0">
    <w:pPr>
      <w:pStyle w:val="HDR"/>
    </w:pPr>
    <w:r>
      <w:rPr>
        <w:rStyle w:val="CPR"/>
      </w:rPr>
      <w:t>Construction Standards</w:t>
    </w:r>
    <w:r>
      <w:rPr>
        <w:rStyle w:val="CPR"/>
      </w:rPr>
      <w:tab/>
    </w:r>
    <w:r>
      <w:rPr>
        <w:rStyle w:val="CPR"/>
      </w:rPr>
      <w:tab/>
      <w:t xml:space="preserve">PAGE 102810 - </w:t>
    </w:r>
    <w:r w:rsidR="00B904BF">
      <w:rPr>
        <w:rStyle w:val="PageNumber"/>
      </w:rPr>
      <w:fldChar w:fldCharType="begin"/>
    </w:r>
    <w:r>
      <w:rPr>
        <w:rStyle w:val="PageNumber"/>
      </w:rPr>
      <w:instrText xml:space="preserve"> PAGE </w:instrText>
    </w:r>
    <w:r w:rsidR="00B904BF">
      <w:rPr>
        <w:rStyle w:val="PageNumber"/>
      </w:rPr>
      <w:fldChar w:fldCharType="separate"/>
    </w:r>
    <w:r w:rsidR="007E4A1C">
      <w:rPr>
        <w:rStyle w:val="PageNumber"/>
        <w:noProof/>
      </w:rPr>
      <w:t>2</w:t>
    </w:r>
    <w:r w:rsidR="00B904BF">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496006"/>
    <w:rsid w:val="001C66FA"/>
    <w:rsid w:val="00211CBE"/>
    <w:rsid w:val="00452FB8"/>
    <w:rsid w:val="00496006"/>
    <w:rsid w:val="005E7FE8"/>
    <w:rsid w:val="006D477B"/>
    <w:rsid w:val="006F4B32"/>
    <w:rsid w:val="007238E6"/>
    <w:rsid w:val="007A7243"/>
    <w:rsid w:val="007E4A1C"/>
    <w:rsid w:val="0088774D"/>
    <w:rsid w:val="008B13F6"/>
    <w:rsid w:val="00925030"/>
    <w:rsid w:val="00975030"/>
    <w:rsid w:val="009E13D2"/>
    <w:rsid w:val="00B83646"/>
    <w:rsid w:val="00B904BF"/>
    <w:rsid w:val="00C537FF"/>
    <w:rsid w:val="00EB383D"/>
    <w:rsid w:val="00F24F81"/>
    <w:rsid w:val="00F31733"/>
    <w:rsid w:val="00F9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3D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E13D2"/>
    <w:pPr>
      <w:tabs>
        <w:tab w:val="center" w:pos="4608"/>
        <w:tab w:val="right" w:pos="9360"/>
      </w:tabs>
      <w:suppressAutoHyphens/>
      <w:jc w:val="both"/>
    </w:pPr>
  </w:style>
  <w:style w:type="paragraph" w:customStyle="1" w:styleId="FTR">
    <w:name w:val="FTR"/>
    <w:basedOn w:val="Normal"/>
    <w:rsid w:val="009E13D2"/>
    <w:pPr>
      <w:tabs>
        <w:tab w:val="right" w:pos="9360"/>
      </w:tabs>
      <w:suppressAutoHyphens/>
      <w:jc w:val="both"/>
    </w:pPr>
  </w:style>
  <w:style w:type="paragraph" w:customStyle="1" w:styleId="SCT">
    <w:name w:val="SCT"/>
    <w:basedOn w:val="Normal"/>
    <w:next w:val="PRT"/>
    <w:rsid w:val="009E13D2"/>
    <w:pPr>
      <w:suppressAutoHyphens/>
      <w:spacing w:before="240"/>
      <w:jc w:val="both"/>
    </w:pPr>
  </w:style>
  <w:style w:type="paragraph" w:customStyle="1" w:styleId="PRT">
    <w:name w:val="PRT"/>
    <w:basedOn w:val="Normal"/>
    <w:next w:val="ART"/>
    <w:rsid w:val="009E13D2"/>
    <w:pPr>
      <w:keepNext/>
      <w:numPr>
        <w:numId w:val="1"/>
      </w:numPr>
      <w:suppressAutoHyphens/>
      <w:spacing w:before="480"/>
      <w:jc w:val="both"/>
      <w:outlineLvl w:val="0"/>
    </w:pPr>
  </w:style>
  <w:style w:type="paragraph" w:customStyle="1" w:styleId="SUT">
    <w:name w:val="SUT"/>
    <w:basedOn w:val="Normal"/>
    <w:next w:val="PR1"/>
    <w:rsid w:val="009E13D2"/>
    <w:pPr>
      <w:numPr>
        <w:ilvl w:val="1"/>
        <w:numId w:val="1"/>
      </w:numPr>
      <w:suppressAutoHyphens/>
      <w:spacing w:before="240"/>
      <w:jc w:val="both"/>
      <w:outlineLvl w:val="0"/>
    </w:pPr>
  </w:style>
  <w:style w:type="paragraph" w:customStyle="1" w:styleId="DST">
    <w:name w:val="DST"/>
    <w:basedOn w:val="Normal"/>
    <w:next w:val="PR1"/>
    <w:rsid w:val="009E13D2"/>
    <w:pPr>
      <w:numPr>
        <w:ilvl w:val="2"/>
        <w:numId w:val="1"/>
      </w:numPr>
      <w:suppressAutoHyphens/>
      <w:spacing w:before="240"/>
      <w:jc w:val="both"/>
      <w:outlineLvl w:val="0"/>
    </w:pPr>
  </w:style>
  <w:style w:type="paragraph" w:customStyle="1" w:styleId="ART">
    <w:name w:val="ART"/>
    <w:basedOn w:val="Normal"/>
    <w:next w:val="PR1"/>
    <w:rsid w:val="009E13D2"/>
    <w:pPr>
      <w:keepNext/>
      <w:numPr>
        <w:ilvl w:val="3"/>
        <w:numId w:val="1"/>
      </w:numPr>
      <w:suppressAutoHyphens/>
      <w:spacing w:before="480"/>
      <w:jc w:val="both"/>
      <w:outlineLvl w:val="1"/>
    </w:pPr>
  </w:style>
  <w:style w:type="paragraph" w:customStyle="1" w:styleId="PR1">
    <w:name w:val="PR1"/>
    <w:basedOn w:val="Normal"/>
    <w:rsid w:val="009E13D2"/>
    <w:pPr>
      <w:numPr>
        <w:ilvl w:val="4"/>
        <w:numId w:val="1"/>
      </w:numPr>
      <w:suppressAutoHyphens/>
      <w:spacing w:before="240"/>
      <w:jc w:val="both"/>
      <w:outlineLvl w:val="2"/>
    </w:pPr>
  </w:style>
  <w:style w:type="paragraph" w:customStyle="1" w:styleId="PR2">
    <w:name w:val="PR2"/>
    <w:basedOn w:val="Normal"/>
    <w:rsid w:val="009E13D2"/>
    <w:pPr>
      <w:numPr>
        <w:ilvl w:val="5"/>
        <w:numId w:val="1"/>
      </w:numPr>
      <w:suppressAutoHyphens/>
      <w:jc w:val="both"/>
      <w:outlineLvl w:val="3"/>
    </w:pPr>
  </w:style>
  <w:style w:type="paragraph" w:customStyle="1" w:styleId="PR3">
    <w:name w:val="PR3"/>
    <w:basedOn w:val="Normal"/>
    <w:rsid w:val="009E13D2"/>
    <w:pPr>
      <w:numPr>
        <w:ilvl w:val="6"/>
        <w:numId w:val="1"/>
      </w:numPr>
      <w:suppressAutoHyphens/>
      <w:jc w:val="both"/>
      <w:outlineLvl w:val="4"/>
    </w:pPr>
  </w:style>
  <w:style w:type="paragraph" w:customStyle="1" w:styleId="PR4">
    <w:name w:val="PR4"/>
    <w:basedOn w:val="Normal"/>
    <w:rsid w:val="009E13D2"/>
    <w:pPr>
      <w:numPr>
        <w:ilvl w:val="7"/>
        <w:numId w:val="1"/>
      </w:numPr>
      <w:suppressAutoHyphens/>
      <w:jc w:val="both"/>
      <w:outlineLvl w:val="5"/>
    </w:pPr>
  </w:style>
  <w:style w:type="paragraph" w:customStyle="1" w:styleId="PR5">
    <w:name w:val="PR5"/>
    <w:basedOn w:val="Normal"/>
    <w:rsid w:val="009E13D2"/>
    <w:pPr>
      <w:numPr>
        <w:ilvl w:val="8"/>
        <w:numId w:val="1"/>
      </w:numPr>
      <w:suppressAutoHyphens/>
      <w:jc w:val="both"/>
      <w:outlineLvl w:val="6"/>
    </w:pPr>
  </w:style>
  <w:style w:type="paragraph" w:customStyle="1" w:styleId="TB1">
    <w:name w:val="TB1"/>
    <w:basedOn w:val="Normal"/>
    <w:next w:val="PR1"/>
    <w:rsid w:val="009E13D2"/>
    <w:pPr>
      <w:suppressAutoHyphens/>
      <w:spacing w:before="240"/>
      <w:ind w:left="288"/>
      <w:jc w:val="both"/>
    </w:pPr>
  </w:style>
  <w:style w:type="paragraph" w:customStyle="1" w:styleId="TB2">
    <w:name w:val="TB2"/>
    <w:basedOn w:val="Normal"/>
    <w:next w:val="PR2"/>
    <w:rsid w:val="009E13D2"/>
    <w:pPr>
      <w:suppressAutoHyphens/>
      <w:spacing w:before="240"/>
      <w:ind w:left="864"/>
      <w:jc w:val="both"/>
    </w:pPr>
  </w:style>
  <w:style w:type="paragraph" w:customStyle="1" w:styleId="TB3">
    <w:name w:val="TB3"/>
    <w:basedOn w:val="Normal"/>
    <w:next w:val="PR3"/>
    <w:rsid w:val="009E13D2"/>
    <w:pPr>
      <w:suppressAutoHyphens/>
      <w:spacing w:before="240"/>
      <w:ind w:left="1440"/>
      <w:jc w:val="both"/>
    </w:pPr>
  </w:style>
  <w:style w:type="paragraph" w:customStyle="1" w:styleId="TB4">
    <w:name w:val="TB4"/>
    <w:basedOn w:val="Normal"/>
    <w:next w:val="PR4"/>
    <w:rsid w:val="009E13D2"/>
    <w:pPr>
      <w:suppressAutoHyphens/>
      <w:spacing w:before="240"/>
      <w:ind w:left="2016"/>
      <w:jc w:val="both"/>
    </w:pPr>
  </w:style>
  <w:style w:type="paragraph" w:customStyle="1" w:styleId="TB5">
    <w:name w:val="TB5"/>
    <w:basedOn w:val="Normal"/>
    <w:next w:val="PR5"/>
    <w:rsid w:val="009E13D2"/>
    <w:pPr>
      <w:suppressAutoHyphens/>
      <w:spacing w:before="240"/>
      <w:ind w:left="2592"/>
      <w:jc w:val="both"/>
    </w:pPr>
  </w:style>
  <w:style w:type="paragraph" w:customStyle="1" w:styleId="TF1">
    <w:name w:val="TF1"/>
    <w:basedOn w:val="Normal"/>
    <w:next w:val="TB1"/>
    <w:rsid w:val="009E13D2"/>
    <w:pPr>
      <w:suppressAutoHyphens/>
      <w:spacing w:before="240"/>
      <w:ind w:left="288"/>
      <w:jc w:val="both"/>
    </w:pPr>
  </w:style>
  <w:style w:type="paragraph" w:customStyle="1" w:styleId="TF2">
    <w:name w:val="TF2"/>
    <w:basedOn w:val="Normal"/>
    <w:next w:val="TB2"/>
    <w:rsid w:val="009E13D2"/>
    <w:pPr>
      <w:suppressAutoHyphens/>
      <w:spacing w:before="240"/>
      <w:ind w:left="864"/>
      <w:jc w:val="both"/>
    </w:pPr>
  </w:style>
  <w:style w:type="paragraph" w:customStyle="1" w:styleId="TF3">
    <w:name w:val="TF3"/>
    <w:basedOn w:val="Normal"/>
    <w:next w:val="TB3"/>
    <w:rsid w:val="009E13D2"/>
    <w:pPr>
      <w:suppressAutoHyphens/>
      <w:spacing w:before="240"/>
      <w:ind w:left="1440"/>
      <w:jc w:val="both"/>
    </w:pPr>
  </w:style>
  <w:style w:type="paragraph" w:customStyle="1" w:styleId="TF4">
    <w:name w:val="TF4"/>
    <w:basedOn w:val="Normal"/>
    <w:next w:val="TB4"/>
    <w:rsid w:val="009E13D2"/>
    <w:pPr>
      <w:suppressAutoHyphens/>
      <w:spacing w:before="240"/>
      <w:ind w:left="2016"/>
      <w:jc w:val="both"/>
    </w:pPr>
  </w:style>
  <w:style w:type="paragraph" w:customStyle="1" w:styleId="TF5">
    <w:name w:val="TF5"/>
    <w:basedOn w:val="Normal"/>
    <w:next w:val="TB5"/>
    <w:rsid w:val="009E13D2"/>
    <w:pPr>
      <w:suppressAutoHyphens/>
      <w:spacing w:before="240"/>
      <w:ind w:left="2592"/>
      <w:jc w:val="both"/>
    </w:pPr>
  </w:style>
  <w:style w:type="paragraph" w:customStyle="1" w:styleId="TCH">
    <w:name w:val="TCH"/>
    <w:basedOn w:val="Normal"/>
    <w:rsid w:val="009E13D2"/>
    <w:pPr>
      <w:suppressAutoHyphens/>
    </w:pPr>
  </w:style>
  <w:style w:type="paragraph" w:customStyle="1" w:styleId="TCE">
    <w:name w:val="TCE"/>
    <w:basedOn w:val="Normal"/>
    <w:rsid w:val="009E13D2"/>
    <w:pPr>
      <w:suppressAutoHyphens/>
      <w:ind w:left="144" w:hanging="144"/>
    </w:pPr>
  </w:style>
  <w:style w:type="paragraph" w:customStyle="1" w:styleId="EOS">
    <w:name w:val="EOS"/>
    <w:basedOn w:val="Normal"/>
    <w:rsid w:val="009E13D2"/>
    <w:pPr>
      <w:suppressAutoHyphens/>
      <w:spacing w:before="480"/>
      <w:jc w:val="both"/>
    </w:pPr>
  </w:style>
  <w:style w:type="paragraph" w:customStyle="1" w:styleId="ANT">
    <w:name w:val="ANT"/>
    <w:basedOn w:val="Normal"/>
    <w:rsid w:val="009E13D2"/>
    <w:pPr>
      <w:suppressAutoHyphens/>
      <w:spacing w:before="240"/>
      <w:jc w:val="both"/>
    </w:pPr>
    <w:rPr>
      <w:vanish/>
      <w:color w:val="800080"/>
      <w:u w:val="single"/>
    </w:rPr>
  </w:style>
  <w:style w:type="paragraph" w:customStyle="1" w:styleId="CMT">
    <w:name w:val="CMT"/>
    <w:basedOn w:val="Normal"/>
    <w:rsid w:val="009E13D2"/>
    <w:pPr>
      <w:suppressAutoHyphens/>
      <w:spacing w:before="240"/>
      <w:jc w:val="both"/>
    </w:pPr>
    <w:rPr>
      <w:vanish/>
      <w:color w:val="0000FF"/>
    </w:rPr>
  </w:style>
  <w:style w:type="character" w:customStyle="1" w:styleId="CPR">
    <w:name w:val="CPR"/>
    <w:basedOn w:val="DefaultParagraphFont"/>
    <w:rsid w:val="009E13D2"/>
    <w:rPr>
      <w:rFonts w:cs="Times New Roman"/>
    </w:rPr>
  </w:style>
  <w:style w:type="character" w:customStyle="1" w:styleId="SPN">
    <w:name w:val="SPN"/>
    <w:basedOn w:val="DefaultParagraphFont"/>
    <w:rsid w:val="009E13D2"/>
    <w:rPr>
      <w:rFonts w:cs="Times New Roman"/>
    </w:rPr>
  </w:style>
  <w:style w:type="character" w:customStyle="1" w:styleId="SPD">
    <w:name w:val="SPD"/>
    <w:basedOn w:val="DefaultParagraphFont"/>
    <w:rsid w:val="009E13D2"/>
    <w:rPr>
      <w:rFonts w:cs="Times New Roman"/>
    </w:rPr>
  </w:style>
  <w:style w:type="character" w:customStyle="1" w:styleId="NUM">
    <w:name w:val="NUM"/>
    <w:basedOn w:val="DefaultParagraphFont"/>
    <w:rsid w:val="009E13D2"/>
    <w:rPr>
      <w:rFonts w:cs="Times New Roman"/>
    </w:rPr>
  </w:style>
  <w:style w:type="character" w:customStyle="1" w:styleId="NAM">
    <w:name w:val="NAM"/>
    <w:basedOn w:val="DefaultParagraphFont"/>
    <w:rsid w:val="009E13D2"/>
    <w:rPr>
      <w:rFonts w:cs="Times New Roman"/>
    </w:rPr>
  </w:style>
  <w:style w:type="character" w:customStyle="1" w:styleId="SI">
    <w:name w:val="SI"/>
    <w:basedOn w:val="DefaultParagraphFont"/>
    <w:rsid w:val="009E13D2"/>
    <w:rPr>
      <w:rFonts w:cs="Times New Roman"/>
      <w:color w:val="008080"/>
    </w:rPr>
  </w:style>
  <w:style w:type="character" w:customStyle="1" w:styleId="IP">
    <w:name w:val="IP"/>
    <w:basedOn w:val="DefaultParagraphFont"/>
    <w:rsid w:val="009E13D2"/>
    <w:rPr>
      <w:rFonts w:cs="Times New Roman"/>
      <w:color w:val="000000"/>
    </w:rPr>
  </w:style>
  <w:style w:type="paragraph" w:styleId="Header">
    <w:name w:val="header"/>
    <w:basedOn w:val="Normal"/>
    <w:link w:val="HeaderChar"/>
    <w:uiPriority w:val="99"/>
    <w:rsid w:val="009E13D2"/>
    <w:pPr>
      <w:tabs>
        <w:tab w:val="center" w:pos="4320"/>
        <w:tab w:val="right" w:pos="8640"/>
      </w:tabs>
    </w:pPr>
  </w:style>
  <w:style w:type="character" w:customStyle="1" w:styleId="HeaderChar">
    <w:name w:val="Header Char"/>
    <w:basedOn w:val="DefaultParagraphFont"/>
    <w:link w:val="Header"/>
    <w:uiPriority w:val="99"/>
    <w:semiHidden/>
    <w:rsid w:val="00BC39AB"/>
    <w:rPr>
      <w:sz w:val="22"/>
    </w:rPr>
  </w:style>
  <w:style w:type="paragraph" w:styleId="Footer">
    <w:name w:val="footer"/>
    <w:basedOn w:val="Normal"/>
    <w:link w:val="FooterChar"/>
    <w:uiPriority w:val="99"/>
    <w:rsid w:val="009E13D2"/>
    <w:pPr>
      <w:tabs>
        <w:tab w:val="center" w:pos="4320"/>
        <w:tab w:val="right" w:pos="8640"/>
      </w:tabs>
    </w:pPr>
  </w:style>
  <w:style w:type="character" w:customStyle="1" w:styleId="FooterChar">
    <w:name w:val="Footer Char"/>
    <w:basedOn w:val="DefaultParagraphFont"/>
    <w:link w:val="Footer"/>
    <w:uiPriority w:val="99"/>
    <w:semiHidden/>
    <w:rsid w:val="00BC39AB"/>
    <w:rPr>
      <w:sz w:val="22"/>
    </w:rPr>
  </w:style>
  <w:style w:type="character" w:styleId="PageNumber">
    <w:name w:val="page number"/>
    <w:basedOn w:val="DefaultParagraphFont"/>
    <w:uiPriority w:val="99"/>
    <w:rsid w:val="009E13D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1405</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10801 - TOILET AND BATH ACCESSORIES</vt:lpstr>
    </vt:vector>
  </TitlesOfParts>
  <Company>ARCOM</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10801 - TOILET AND BATH ACCESSORIES</dc:title>
  <dc:subject>TOILET AND BATH ACCESSORIES</dc:subject>
  <dc:creator>ARCOM, Inc.</dc:creator>
  <cp:keywords>BAS-12345-MS80</cp:keywords>
  <dc:description/>
  <cp:lastModifiedBy>Hayden, David</cp:lastModifiedBy>
  <cp:revision>5</cp:revision>
  <cp:lastPrinted>2005-10-26T15:22:00Z</cp:lastPrinted>
  <dcterms:created xsi:type="dcterms:W3CDTF">2008-12-05T19:17:00Z</dcterms:created>
  <dcterms:modified xsi:type="dcterms:W3CDTF">2012-08-27T18:16:00Z</dcterms:modified>
  <cp:contentStatus/>
</cp:coreProperties>
</file>