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5B" w:rsidRDefault="00C1465B">
      <w:pPr>
        <w:pStyle w:val="SCT"/>
      </w:pPr>
      <w:r>
        <w:t xml:space="preserve">SECTION </w:t>
      </w:r>
      <w:r>
        <w:rPr>
          <w:rStyle w:val="NUM"/>
        </w:rPr>
        <w:t>123410</w:t>
      </w:r>
      <w:r>
        <w:t xml:space="preserve"> </w:t>
      </w:r>
      <w:r w:rsidR="009D06B2">
        <w:t>–</w:t>
      </w:r>
      <w:r>
        <w:t xml:space="preserve"> </w:t>
      </w:r>
      <w:r w:rsidR="009D06B2">
        <w:rPr>
          <w:rStyle w:val="NAM"/>
        </w:rPr>
        <w:t xml:space="preserve">PLASTIC </w:t>
      </w:r>
      <w:r>
        <w:rPr>
          <w:rStyle w:val="NAM"/>
        </w:rPr>
        <w:t>LAMINATE LABORATORY CASEWORK</w:t>
      </w:r>
    </w:p>
    <w:p w:rsidR="00C1465B" w:rsidRDefault="00C1465B">
      <w:pPr>
        <w:pStyle w:val="PRT"/>
      </w:pPr>
      <w:r>
        <w:t>GENERAL</w:t>
      </w:r>
    </w:p>
    <w:p w:rsidR="00C1465B" w:rsidRDefault="00C1465B">
      <w:pPr>
        <w:pStyle w:val="ART"/>
      </w:pPr>
      <w:r>
        <w:t>SUMMARY</w:t>
      </w:r>
    </w:p>
    <w:p w:rsidR="00C1465B" w:rsidRDefault="00C1465B">
      <w:pPr>
        <w:pStyle w:val="PR1"/>
      </w:pPr>
      <w:r>
        <w:t>M.S.U. ISSUES</w:t>
      </w:r>
    </w:p>
    <w:p w:rsidR="00C1465B" w:rsidRDefault="00C1465B">
      <w:pPr>
        <w:pStyle w:val="PR2"/>
        <w:spacing w:before="240"/>
      </w:pPr>
      <w:r>
        <w:t>Laboratory furniture shall be premium grade, conventional wall mounted units and floor mounted base units.  All cabinetry shall be welded-steel flush or flush-overlap construction, with all parts die-formed to insure uniformity and interchangeability.  If matching existing casework or other concerns make wood or plastic-laminate casework more appropriate, they may be used with the approval of M.S.U.  The manufacturer must have an assured delivery program for the specified type of furniture and related equipment and accessories.</w:t>
      </w:r>
    </w:p>
    <w:p w:rsidR="00C1465B" w:rsidRDefault="00C1465B">
      <w:pPr>
        <w:pStyle w:val="PR2"/>
        <w:outlineLvl w:val="9"/>
      </w:pPr>
      <w:r>
        <w:t xml:space="preserve">Assemble and install furniture and tops in accordance to the manufacturer’s directions.  When assembled each cabinet shall be a complete and secure unit that will fit into an assembly of cabinets, and will permit a reorganization of components in the future.  The countertops, utility chases, reagent shelves, and splashes shall form a complete working surface with all joints sealed and all components securely attached for a smooth, level </w:t>
      </w:r>
      <w:proofErr w:type="gramStart"/>
      <w:r>
        <w:t>and</w:t>
      </w:r>
      <w:proofErr w:type="gramEnd"/>
      <w:r>
        <w:t xml:space="preserve"> tight fit.</w:t>
      </w:r>
    </w:p>
    <w:p w:rsidR="00C1465B" w:rsidRDefault="00C1465B">
      <w:pPr>
        <w:pStyle w:val="PR2"/>
        <w:outlineLvl w:val="9"/>
      </w:pPr>
      <w:r>
        <w:t>Verify locations of all cutouts prior to installation; coordinate work with electrical and plumbing trades.  All electrical and plumbing services and fixtures shall be installed in conformance with the manufacturer’s instructions, appropriate State codes, standard trade practices, and the direction of the M.S.U. Project Representative for a complete job.</w:t>
      </w:r>
    </w:p>
    <w:p w:rsidR="00C1465B" w:rsidRDefault="00C1465B">
      <w:pPr>
        <w:pStyle w:val="PR2"/>
        <w:outlineLvl w:val="9"/>
      </w:pPr>
      <w:r>
        <w:t>In order for cabinets other than those listed in this standard to be approved, sufficient time must be provided for appropriate M.S.U. staff to review cabinet specifications and view a local site where the proposed cabinets have previously been installed.</w:t>
      </w:r>
    </w:p>
    <w:p w:rsidR="00C1465B" w:rsidRDefault="00C1465B">
      <w:pPr>
        <w:pStyle w:val="PR1"/>
      </w:pPr>
      <w:r>
        <w:t>This Section includes the following:</w:t>
      </w:r>
    </w:p>
    <w:p w:rsidR="00C1465B" w:rsidRDefault="00C1465B">
      <w:pPr>
        <w:pStyle w:val="PR2"/>
        <w:spacing w:before="240"/>
      </w:pPr>
      <w:r>
        <w:t>Plastic-laminate laboratory casework.</w:t>
      </w:r>
    </w:p>
    <w:p w:rsidR="00C1465B" w:rsidRDefault="00C1465B">
      <w:pPr>
        <w:pStyle w:val="PR2"/>
      </w:pPr>
      <w:r>
        <w:t>Laboratory countertops.</w:t>
      </w:r>
    </w:p>
    <w:p w:rsidR="00C1465B" w:rsidRDefault="00C1465B">
      <w:pPr>
        <w:pStyle w:val="PR2"/>
      </w:pPr>
      <w:r>
        <w:t>Laboratory sinks.</w:t>
      </w:r>
    </w:p>
    <w:p w:rsidR="00C1465B" w:rsidRDefault="00C1465B">
      <w:pPr>
        <w:pStyle w:val="PR1"/>
      </w:pPr>
      <w:r>
        <w:t>Related Sections include the following:</w:t>
      </w:r>
    </w:p>
    <w:p w:rsidR="00C1465B" w:rsidRDefault="00C1465B">
      <w:pPr>
        <w:pStyle w:val="PR2"/>
        <w:spacing w:before="240"/>
      </w:pPr>
      <w:r>
        <w:t>Division 11 Section LABORATORY FUME HOODS for fume hoods, including base cabinets and countertops under fume hoods.</w:t>
      </w:r>
    </w:p>
    <w:p w:rsidR="00C1465B" w:rsidRPr="00AB6C8E" w:rsidRDefault="00AB6C8E">
      <w:pPr>
        <w:pStyle w:val="PR2"/>
      </w:pPr>
      <w:r w:rsidRPr="00AB6C8E">
        <w:t>Divisions 22 and 2</w:t>
      </w:r>
      <w:r w:rsidR="00C1465B" w:rsidRPr="00AB6C8E">
        <w:t>6 Sections for installing service fittings specified in this Section.</w:t>
      </w:r>
    </w:p>
    <w:p w:rsidR="00C1465B" w:rsidRDefault="00C1465B">
      <w:pPr>
        <w:pStyle w:val="PR2"/>
      </w:pPr>
      <w:r>
        <w:t>Division 12 Section METAL LABORATORY CASEWORK</w:t>
      </w:r>
    </w:p>
    <w:p w:rsidR="00C1465B" w:rsidRDefault="00C1465B">
      <w:pPr>
        <w:pStyle w:val="PR2"/>
      </w:pPr>
      <w:r>
        <w:t>Division 12 Section WOOD LABORATORY CASEWORK</w:t>
      </w:r>
    </w:p>
    <w:p w:rsidR="00C1465B" w:rsidRDefault="00C1465B">
      <w:pPr>
        <w:pStyle w:val="ART"/>
      </w:pPr>
      <w:r>
        <w:lastRenderedPageBreak/>
        <w:t>DEFINITIONS</w:t>
      </w:r>
    </w:p>
    <w:p w:rsidR="00C1465B" w:rsidRDefault="00C1465B">
      <w:pPr>
        <w:pStyle w:val="PR1"/>
      </w:pPr>
      <w:r>
        <w:t xml:space="preserve">Exposed Portions of Casework:  Surfaces visible when doors and drawers are closed, including bottoms of cabinets more than </w:t>
      </w:r>
      <w:r>
        <w:rPr>
          <w:rStyle w:val="IP"/>
        </w:rPr>
        <w:t>48 inches</w:t>
      </w:r>
      <w:r>
        <w:t xml:space="preserve"> above floor, and visible surfaces in open cabinets or behind glass doors.</w:t>
      </w:r>
    </w:p>
    <w:p w:rsidR="00C1465B" w:rsidRDefault="00C1465B">
      <w:pPr>
        <w:pStyle w:val="PR2"/>
        <w:spacing w:before="240"/>
      </w:pPr>
      <w:r>
        <w:t xml:space="preserve">Ends of cabinets, including those installed directly against walls or other </w:t>
      </w:r>
      <w:proofErr w:type="gramStart"/>
      <w:r>
        <w:t>cabinets,</w:t>
      </w:r>
      <w:proofErr w:type="gramEnd"/>
      <w:r>
        <w:t xml:space="preserve"> shall be considered exposed.</w:t>
      </w:r>
    </w:p>
    <w:p w:rsidR="00C1465B" w:rsidRDefault="00C1465B">
      <w:pPr>
        <w:pStyle w:val="PR1"/>
      </w:pPr>
      <w:r>
        <w:t xml:space="preserve">Semi-exposed Portions of Casework:  Surfaces behind opaque doors, such as interiors of cabinets, shelves, dividers, interiors and sides of drawers, and interior faces of doors.  Tops of cases </w:t>
      </w:r>
      <w:r>
        <w:rPr>
          <w:rStyle w:val="IP"/>
        </w:rPr>
        <w:t>78 inches</w:t>
      </w:r>
      <w:r>
        <w:t xml:space="preserve"> or more above floor are defined as semi-exposed.</w:t>
      </w:r>
    </w:p>
    <w:p w:rsidR="00C1465B" w:rsidRDefault="00C1465B">
      <w:pPr>
        <w:pStyle w:val="PR1"/>
      </w:pPr>
      <w:r>
        <w:t>Concealed portions of casework include sleepers, web frames, dust panels, and other surfaces not usually visible after installation.</w:t>
      </w:r>
    </w:p>
    <w:p w:rsidR="00C1465B" w:rsidRDefault="00C1465B">
      <w:pPr>
        <w:pStyle w:val="ART"/>
      </w:pPr>
      <w:r>
        <w:t>SUBMITTALS</w:t>
      </w:r>
    </w:p>
    <w:p w:rsidR="00C1465B" w:rsidRDefault="00C1465B">
      <w:pPr>
        <w:pStyle w:val="PR1"/>
      </w:pPr>
      <w:r>
        <w:t>Product Data:  For each type of product indicated.</w:t>
      </w:r>
    </w:p>
    <w:p w:rsidR="00C1465B" w:rsidRDefault="00C1465B">
      <w:pPr>
        <w:pStyle w:val="PR1"/>
      </w:pPr>
      <w:r>
        <w:t>Shop Drawings:  For plastic-laminate laboratory casework.  Include plans, elevations, sections, details, and attachments to other work.</w:t>
      </w:r>
    </w:p>
    <w:p w:rsidR="00C1465B" w:rsidRDefault="00C1465B">
      <w:pPr>
        <w:pStyle w:val="PR2"/>
        <w:spacing w:before="240"/>
      </w:pPr>
      <w:r>
        <w:t>Indicate locations of blocking and reinforcements required for installing laboratory casework.</w:t>
      </w:r>
    </w:p>
    <w:p w:rsidR="00C1465B" w:rsidRDefault="00C1465B">
      <w:pPr>
        <w:pStyle w:val="PR2"/>
      </w:pPr>
      <w:r>
        <w:t>Indicate locations and types of service fittings, together with associated service supply connection required.</w:t>
      </w:r>
    </w:p>
    <w:p w:rsidR="00C1465B" w:rsidRDefault="00C1465B">
      <w:pPr>
        <w:pStyle w:val="PR2"/>
      </w:pPr>
      <w:r>
        <w:t>Include details of utility spaces showing supports for conduits and piping.</w:t>
      </w:r>
    </w:p>
    <w:p w:rsidR="00C1465B" w:rsidRDefault="00C1465B">
      <w:pPr>
        <w:pStyle w:val="PR1"/>
      </w:pPr>
      <w:r>
        <w:t>Samples for Verification:  On request, for each type of finish, including countertop material, in manufacturer's standard sizes.</w:t>
      </w:r>
    </w:p>
    <w:p w:rsidR="00C1465B" w:rsidRDefault="00C1465B">
      <w:pPr>
        <w:pStyle w:val="PR1"/>
      </w:pPr>
      <w:r>
        <w:t>Qualification Data:  For testing agency.</w:t>
      </w:r>
    </w:p>
    <w:p w:rsidR="00C1465B" w:rsidRDefault="00C1465B">
      <w:pPr>
        <w:pStyle w:val="PR1"/>
      </w:pPr>
      <w:r>
        <w:t>Product Test Reports:  Based on evaluation of comprehensive tests performed by a qualified testing agency, indicating compliance of laboratory casework finishes and countertops with requirements specified for chemical and physical resistance.</w:t>
      </w:r>
    </w:p>
    <w:p w:rsidR="00C1465B" w:rsidRDefault="00C1465B">
      <w:pPr>
        <w:pStyle w:val="ART"/>
      </w:pPr>
      <w:r>
        <w:t>QUALITY ASSURANCE</w:t>
      </w:r>
    </w:p>
    <w:p w:rsidR="00C1465B" w:rsidRDefault="00C1465B">
      <w:pPr>
        <w:pStyle w:val="PR1"/>
      </w:pPr>
      <w:r>
        <w:t>Source Limitations:  Obtain laboratory casework, including countertops, sinks, service fittings, and accessories, through one source from a single manufacturer.</w:t>
      </w:r>
    </w:p>
    <w:p w:rsidR="00C1465B" w:rsidRDefault="00C1465B">
      <w:pPr>
        <w:pStyle w:val="PR1"/>
      </w:pPr>
      <w:r>
        <w:t>Product Standard:  Comply with SEFA 8, "Laboratory Furniture--Casework, Shelving and Tables--Recommended Practices."</w:t>
      </w:r>
    </w:p>
    <w:p w:rsidR="00C1465B" w:rsidRDefault="00C1465B">
      <w:pPr>
        <w:pStyle w:val="PR1"/>
      </w:pPr>
      <w:r>
        <w:t>Flammable Liquid Storage:  Where cabinets are indicated for solvent or flammable liquid storage, provide units that are listed and labeled as complying with requirements of NFPA 30 by UL or another testing and inspecting agency acceptable to authorities having jurisdiction.</w:t>
      </w:r>
    </w:p>
    <w:p w:rsidR="00C1465B" w:rsidRDefault="00C1465B">
      <w:pPr>
        <w:pStyle w:val="PR2"/>
        <w:spacing w:before="240"/>
      </w:pPr>
      <w:r>
        <w:lastRenderedPageBreak/>
        <w:t>Cabinets that are not listed and labeled but are constructed according to NFPA 30, Paragraph 4-3.3(c) may be used if acceptable to authorities having jurisdiction.</w:t>
      </w:r>
    </w:p>
    <w:p w:rsidR="00C1465B" w:rsidRDefault="00C1465B">
      <w:pPr>
        <w:pStyle w:val="PR1"/>
      </w:pPr>
      <w:r>
        <w:t>Electrical Components, Devices, and Accessories:  Listed and labeled as defined in NFPA 70, Article 100, by a testing agency acceptable to authorities having jurisdiction, and marked for intended use.</w:t>
      </w:r>
    </w:p>
    <w:p w:rsidR="00C1465B" w:rsidRDefault="00C1465B">
      <w:pPr>
        <w:pStyle w:val="ART"/>
      </w:pPr>
      <w:r>
        <w:t>DELIVERY, STORAGE, AND HANDLING</w:t>
      </w:r>
    </w:p>
    <w:p w:rsidR="00C1465B" w:rsidRDefault="00C1465B">
      <w:pPr>
        <w:pStyle w:val="PR1"/>
      </w:pPr>
      <w:r>
        <w:t>Protect finished surfaces during handling and installation with protective covering of polyethylene film or other suitable material.</w:t>
      </w:r>
    </w:p>
    <w:p w:rsidR="00C1465B" w:rsidRDefault="00C1465B">
      <w:pPr>
        <w:pStyle w:val="ART"/>
      </w:pPr>
      <w:r>
        <w:t>PROJECT CONDITIONS</w:t>
      </w:r>
    </w:p>
    <w:p w:rsidR="00C1465B" w:rsidRDefault="00C1465B">
      <w:pPr>
        <w:pStyle w:val="PR1"/>
      </w:pPr>
      <w:r>
        <w:t>Environmental Limitations:  Do not deliver or install plastic-laminate laboratory casework until building is enclosed, wet work and utility roughing-in are complete, and HVAC system is operating and maintaining temperature and relative humidity at occupancy levels during the remainder of the construction period.</w:t>
      </w:r>
    </w:p>
    <w:p w:rsidR="00C1465B" w:rsidRDefault="00C1465B">
      <w:pPr>
        <w:pStyle w:val="PRT"/>
      </w:pPr>
      <w:r>
        <w:t>PRODUCTS</w:t>
      </w:r>
    </w:p>
    <w:p w:rsidR="00C1465B" w:rsidRDefault="00C1465B">
      <w:pPr>
        <w:pStyle w:val="ART"/>
      </w:pPr>
      <w:r>
        <w:t>MANUFACTURERS</w:t>
      </w:r>
    </w:p>
    <w:p w:rsidR="00C1465B" w:rsidRDefault="00C1465B">
      <w:pPr>
        <w:pStyle w:val="PR1"/>
      </w:pPr>
      <w:r>
        <w:t>Available Manufacturers:  Subject to compliance with requirements, manufacturers offering products that may be incorporated into the Work include, but are not limited to, the following:</w:t>
      </w:r>
    </w:p>
    <w:p w:rsidR="00C1465B" w:rsidRDefault="00C1465B">
      <w:pPr>
        <w:pStyle w:val="PR2"/>
        <w:spacing w:before="240"/>
      </w:pPr>
      <w:r>
        <w:t>Plastic-Laminate-Faced Casework:</w:t>
      </w:r>
    </w:p>
    <w:p w:rsidR="00C1465B" w:rsidRDefault="00C1465B">
      <w:pPr>
        <w:pStyle w:val="PR3"/>
        <w:spacing w:before="240"/>
      </w:pPr>
      <w:r>
        <w:t>Case Systems Inc.</w:t>
      </w:r>
    </w:p>
    <w:p w:rsidR="00C1465B" w:rsidRDefault="00C1465B">
      <w:pPr>
        <w:pStyle w:val="PR3"/>
      </w:pPr>
      <w:r>
        <w:t>LSI Corporation of America, Inc.</w:t>
      </w:r>
    </w:p>
    <w:p w:rsidR="00C1465B" w:rsidRDefault="00C1465B">
      <w:pPr>
        <w:pStyle w:val="PR3"/>
      </w:pPr>
      <w:r>
        <w:t>TMI Systems Design Corp.</w:t>
      </w:r>
    </w:p>
    <w:p w:rsidR="00C1465B" w:rsidRDefault="00C1465B">
      <w:pPr>
        <w:pStyle w:val="PR3"/>
      </w:pPr>
      <w:r>
        <w:t>Or as approved.</w:t>
      </w:r>
    </w:p>
    <w:p w:rsidR="00C1465B" w:rsidRDefault="00C1465B">
      <w:pPr>
        <w:pStyle w:val="ART"/>
      </w:pPr>
      <w:r>
        <w:t>CABINET MATERIALS</w:t>
      </w:r>
    </w:p>
    <w:p w:rsidR="00C1465B" w:rsidRDefault="00C1465B">
      <w:pPr>
        <w:pStyle w:val="PR1"/>
      </w:pPr>
      <w:r>
        <w:t>General:</w:t>
      </w:r>
    </w:p>
    <w:p w:rsidR="00C1465B" w:rsidRDefault="00C1465B">
      <w:pPr>
        <w:pStyle w:val="PR2"/>
        <w:spacing w:before="240"/>
      </w:pPr>
      <w:r>
        <w:t xml:space="preserve">Hardwood Plywood:  HPVA HP-1, either </w:t>
      </w:r>
      <w:proofErr w:type="gramStart"/>
      <w:r>
        <w:t>veneer</w:t>
      </w:r>
      <w:proofErr w:type="gramEnd"/>
      <w:r>
        <w:t xml:space="preserve"> core or particle core, unless otherwise indicated.</w:t>
      </w:r>
    </w:p>
    <w:p w:rsidR="00C1465B" w:rsidRDefault="00C1465B">
      <w:pPr>
        <w:pStyle w:val="PR2"/>
        <w:rPr>
          <w:rFonts w:ascii="Times" w:hAnsi="Times"/>
        </w:rPr>
      </w:pPr>
      <w:r>
        <w:rPr>
          <w:rFonts w:ascii="Times" w:hAnsi="Times"/>
        </w:rPr>
        <w:t>Particleboard:  ANSI A208.1, Grade M-2.</w:t>
      </w:r>
    </w:p>
    <w:p w:rsidR="00C1465B" w:rsidRDefault="00C1465B">
      <w:pPr>
        <w:pStyle w:val="PR2"/>
        <w:rPr>
          <w:rFonts w:ascii="Times" w:hAnsi="Times"/>
        </w:rPr>
      </w:pPr>
      <w:r>
        <w:rPr>
          <w:rFonts w:ascii="Times" w:hAnsi="Times"/>
        </w:rPr>
        <w:t>Medium-Density Fiberboard:  ANSI A208.2, Grade MD.</w:t>
      </w:r>
    </w:p>
    <w:p w:rsidR="00C1465B" w:rsidRDefault="00C1465B">
      <w:pPr>
        <w:pStyle w:val="PR2"/>
        <w:rPr>
          <w:rFonts w:ascii="Times" w:hAnsi="Times"/>
        </w:rPr>
      </w:pPr>
      <w:r>
        <w:rPr>
          <w:rFonts w:ascii="Times" w:hAnsi="Times"/>
        </w:rPr>
        <w:t>Plastic Laminate:  High-pressure decorative laminate complying with NEMA LD 3.</w:t>
      </w:r>
    </w:p>
    <w:p w:rsidR="00C1465B" w:rsidRDefault="00C1465B">
      <w:pPr>
        <w:pStyle w:val="PR2"/>
        <w:rPr>
          <w:rFonts w:ascii="Times" w:hAnsi="Times"/>
        </w:rPr>
      </w:pPr>
      <w:r>
        <w:rPr>
          <w:rFonts w:ascii="Times" w:hAnsi="Times"/>
        </w:rPr>
        <w:t>Edge banding for Plastic Laminate:  Rigid PVC extrusions, through color with satin finish, 3 mm thick at doors and drawer fronts, 1 mm thick elsewhere.</w:t>
      </w:r>
    </w:p>
    <w:p w:rsidR="00C1465B" w:rsidRDefault="00C1465B">
      <w:pPr>
        <w:pStyle w:val="PR1"/>
        <w:rPr>
          <w:rFonts w:ascii="Times" w:hAnsi="Times"/>
        </w:rPr>
      </w:pPr>
      <w:r>
        <w:rPr>
          <w:rFonts w:ascii="Times" w:hAnsi="Times"/>
        </w:rPr>
        <w:t>Exposed Materials:</w:t>
      </w:r>
    </w:p>
    <w:p w:rsidR="00C1465B" w:rsidRDefault="00C1465B">
      <w:pPr>
        <w:pStyle w:val="PR2"/>
        <w:spacing w:before="240"/>
        <w:rPr>
          <w:rFonts w:ascii="Times" w:hAnsi="Times"/>
        </w:rPr>
      </w:pPr>
      <w:r>
        <w:rPr>
          <w:rFonts w:ascii="Times" w:hAnsi="Times"/>
        </w:rPr>
        <w:t>Plastic Laminate:  Type VGS.</w:t>
      </w:r>
    </w:p>
    <w:p w:rsidR="00C1465B" w:rsidRDefault="00C1465B">
      <w:pPr>
        <w:pStyle w:val="PR1"/>
        <w:rPr>
          <w:rFonts w:ascii="Times" w:hAnsi="Times"/>
        </w:rPr>
      </w:pPr>
      <w:r>
        <w:rPr>
          <w:rFonts w:ascii="Times" w:hAnsi="Times"/>
        </w:rPr>
        <w:t>Semi-exposed Materials:</w:t>
      </w:r>
    </w:p>
    <w:p w:rsidR="00C1465B" w:rsidRDefault="00C1465B">
      <w:pPr>
        <w:pStyle w:val="PR2"/>
        <w:spacing w:before="240"/>
        <w:rPr>
          <w:rFonts w:ascii="Times" w:hAnsi="Times"/>
        </w:rPr>
      </w:pPr>
      <w:r>
        <w:rPr>
          <w:rFonts w:ascii="Times" w:hAnsi="Times"/>
        </w:rPr>
        <w:t>Plastic Laminate:  Type VGS.</w:t>
      </w:r>
    </w:p>
    <w:p w:rsidR="00C1465B" w:rsidRDefault="00C1465B">
      <w:pPr>
        <w:pStyle w:val="PR2"/>
        <w:spacing w:before="240"/>
      </w:pPr>
      <w:r>
        <w:t>Metal for Steel Drawer Pans:  Cold-rolled, carbon-steel sheet complying with ASTM A 1008/A 1008M; matte finish; suitable for exposed applications.</w:t>
      </w:r>
    </w:p>
    <w:p w:rsidR="00C1465B" w:rsidRDefault="00C1465B">
      <w:pPr>
        <w:pStyle w:val="PR1"/>
      </w:pPr>
      <w:r>
        <w:t>Concealed Materials:</w:t>
      </w:r>
    </w:p>
    <w:p w:rsidR="00C1465B" w:rsidRDefault="00C1465B">
      <w:pPr>
        <w:pStyle w:val="PR2"/>
        <w:spacing w:before="240"/>
      </w:pPr>
      <w:r>
        <w:t>Solid Wood:  Any hardwood or softwood species, with no defects affecting strength or utility.</w:t>
      </w:r>
    </w:p>
    <w:p w:rsidR="00C1465B" w:rsidRDefault="00C1465B">
      <w:pPr>
        <w:pStyle w:val="PR2"/>
      </w:pPr>
      <w:r>
        <w:t>Plywood:  Hardwood plywood.</w:t>
      </w:r>
    </w:p>
    <w:p w:rsidR="00C1465B" w:rsidRDefault="00C1465B">
      <w:pPr>
        <w:pStyle w:val="PR2"/>
      </w:pPr>
      <w:r>
        <w:t>Plastic Laminate:  Type BKL.</w:t>
      </w:r>
    </w:p>
    <w:p w:rsidR="00C1465B" w:rsidRDefault="00C1465B">
      <w:pPr>
        <w:pStyle w:val="PR2"/>
      </w:pPr>
      <w:r>
        <w:t>Particleboard.</w:t>
      </w:r>
    </w:p>
    <w:p w:rsidR="00C1465B" w:rsidRDefault="00C1465B">
      <w:pPr>
        <w:pStyle w:val="PR2"/>
      </w:pPr>
      <w:r>
        <w:t>Medium-density fiberboard.</w:t>
      </w:r>
    </w:p>
    <w:p w:rsidR="00C1465B" w:rsidRDefault="00C1465B">
      <w:pPr>
        <w:pStyle w:val="PR2"/>
      </w:pPr>
      <w:r>
        <w:t>Hardboard:  AHA A135.4, Class 1 tempered.</w:t>
      </w:r>
    </w:p>
    <w:p w:rsidR="00C1465B" w:rsidRDefault="00C1465B">
      <w:pPr>
        <w:pStyle w:val="PR1"/>
        <w:rPr>
          <w:rFonts w:ascii="Times" w:hAnsi="Times"/>
        </w:rPr>
      </w:pPr>
      <w:r>
        <w:t xml:space="preserve">Acid Storage-Cabinet Lining:  </w:t>
      </w:r>
      <w:r>
        <w:rPr>
          <w:rStyle w:val="IP"/>
        </w:rPr>
        <w:t>1/4-inch-</w:t>
      </w:r>
      <w:r>
        <w:t xml:space="preserve"> thick, </w:t>
      </w:r>
      <w:r>
        <w:rPr>
          <w:rFonts w:ascii="Times" w:hAnsi="Times"/>
        </w:rPr>
        <w:t>polyethylene, polypropylene, epoxy, or phenolic-composite lining material.</w:t>
      </w:r>
    </w:p>
    <w:p w:rsidR="00C1465B" w:rsidRDefault="00C1465B">
      <w:pPr>
        <w:pStyle w:val="PR1"/>
      </w:pPr>
      <w:r>
        <w:t>Glass for Glazed Doors:  Clear laminated glass complying with ASTM C 1172, Kind LT, Condition </w:t>
      </w:r>
      <w:proofErr w:type="gramStart"/>
      <w:r>
        <w:t>A</w:t>
      </w:r>
      <w:proofErr w:type="gramEnd"/>
      <w:r>
        <w:t>, Type I, Class I, Quality q</w:t>
      </w:r>
      <w:r>
        <w:rPr>
          <w:vertAlign w:val="superscript"/>
        </w:rPr>
        <w:t>3</w:t>
      </w:r>
      <w:r>
        <w:t>; with 2 lites not less than 3.0 mm thick and with clear, polyvinyl butyral interlayer.</w:t>
      </w:r>
    </w:p>
    <w:p w:rsidR="00C1465B" w:rsidRDefault="00C1465B">
      <w:pPr>
        <w:pStyle w:val="ART"/>
      </w:pPr>
      <w:r>
        <w:t>CABINET FABRICATION</w:t>
      </w:r>
    </w:p>
    <w:p w:rsidR="00C1465B" w:rsidRDefault="00C1465B">
      <w:pPr>
        <w:pStyle w:val="PR1"/>
      </w:pPr>
      <w:r>
        <w:t>Construction:  Provide plastic-laminate-faced laboratory casework of the following minimum construction:</w:t>
      </w:r>
    </w:p>
    <w:p w:rsidR="00C1465B" w:rsidRDefault="00C1465B">
      <w:pPr>
        <w:pStyle w:val="PR2"/>
        <w:spacing w:before="240"/>
      </w:pPr>
      <w:r>
        <w:t xml:space="preserve">Bottoms and Ends of Cabinets, Shelves, and Tops of Wall Cabinets and Tall Cabinets:  </w:t>
      </w:r>
      <w:r>
        <w:rPr>
          <w:rStyle w:val="IP"/>
        </w:rPr>
        <w:t>3/4-inch-</w:t>
      </w:r>
      <w:r>
        <w:t xml:space="preserve"> thick particleboard, plastic-laminate faced.</w:t>
      </w:r>
    </w:p>
    <w:p w:rsidR="00C1465B" w:rsidRDefault="00C1465B">
      <w:pPr>
        <w:pStyle w:val="PR2"/>
        <w:rPr>
          <w:rFonts w:ascii="Times" w:hAnsi="Times"/>
        </w:rPr>
      </w:pPr>
      <w:r>
        <w:t xml:space="preserve">Backs of Cabinets:  </w:t>
      </w:r>
      <w:r>
        <w:rPr>
          <w:rStyle w:val="IP"/>
        </w:rPr>
        <w:t>1/2-inch-</w:t>
      </w:r>
      <w:r>
        <w:t xml:space="preserve"> </w:t>
      </w:r>
      <w:r>
        <w:rPr>
          <w:rFonts w:ascii="Times" w:hAnsi="Times"/>
        </w:rPr>
        <w:t>thick particleboard, plastic-laminate faced.</w:t>
      </w:r>
    </w:p>
    <w:p w:rsidR="00C1465B" w:rsidRDefault="00C1465B">
      <w:pPr>
        <w:pStyle w:val="PR2"/>
        <w:rPr>
          <w:rFonts w:ascii="Times" w:hAnsi="Times"/>
        </w:rPr>
      </w:pPr>
      <w:r>
        <w:rPr>
          <w:rFonts w:ascii="Times" w:hAnsi="Times"/>
        </w:rPr>
        <w:t xml:space="preserve">Drawer Fronts:  </w:t>
      </w:r>
      <w:r>
        <w:rPr>
          <w:rStyle w:val="IP"/>
          <w:rFonts w:ascii="Times" w:hAnsi="Times"/>
        </w:rPr>
        <w:t>3/4-inch-</w:t>
      </w:r>
      <w:r>
        <w:rPr>
          <w:rFonts w:ascii="Times" w:hAnsi="Times"/>
        </w:rPr>
        <w:t xml:space="preserve"> thick particleboard, plastic-laminate faced on both sides.</w:t>
      </w:r>
    </w:p>
    <w:p w:rsidR="00C1465B" w:rsidRDefault="00C1465B">
      <w:pPr>
        <w:pStyle w:val="PR2"/>
        <w:rPr>
          <w:rFonts w:ascii="Times" w:hAnsi="Times"/>
        </w:rPr>
      </w:pPr>
      <w:r>
        <w:rPr>
          <w:rFonts w:ascii="Times" w:hAnsi="Times"/>
        </w:rPr>
        <w:t xml:space="preserve">Drawer Sides and Backs:  </w:t>
      </w:r>
      <w:r>
        <w:rPr>
          <w:rStyle w:val="IP"/>
          <w:rFonts w:ascii="Times" w:hAnsi="Times"/>
        </w:rPr>
        <w:t>1/2-inch-</w:t>
      </w:r>
      <w:r>
        <w:rPr>
          <w:rFonts w:ascii="Times" w:hAnsi="Times"/>
        </w:rPr>
        <w:t xml:space="preserve"> thick solid wood or plywood, with glued dovetail or multiple-dowel joints.</w:t>
      </w:r>
    </w:p>
    <w:p w:rsidR="00C1465B" w:rsidRDefault="00C1465B">
      <w:pPr>
        <w:pStyle w:val="PR2"/>
        <w:rPr>
          <w:rFonts w:ascii="Times" w:hAnsi="Times"/>
        </w:rPr>
      </w:pPr>
      <w:r>
        <w:rPr>
          <w:rFonts w:ascii="Times" w:hAnsi="Times"/>
        </w:rPr>
        <w:t xml:space="preserve">Drawer Bottoms:  </w:t>
      </w:r>
      <w:r>
        <w:rPr>
          <w:rStyle w:val="IP"/>
          <w:rFonts w:ascii="Times" w:hAnsi="Times"/>
        </w:rPr>
        <w:t>1/4-inch-</w:t>
      </w:r>
      <w:r>
        <w:rPr>
          <w:rFonts w:ascii="Times" w:hAnsi="Times"/>
        </w:rPr>
        <w:t xml:space="preserve"> thick plywood glued and dadoed into front, back, and sides of drawers. Use </w:t>
      </w:r>
      <w:r>
        <w:rPr>
          <w:rStyle w:val="IP"/>
          <w:rFonts w:ascii="Times" w:hAnsi="Times"/>
        </w:rPr>
        <w:t>1/2-inch-</w:t>
      </w:r>
      <w:r>
        <w:rPr>
          <w:rFonts w:ascii="Times" w:hAnsi="Times"/>
        </w:rPr>
        <w:t xml:space="preserve"> thick material for drawers more than </w:t>
      </w:r>
      <w:r>
        <w:rPr>
          <w:rStyle w:val="IP"/>
          <w:rFonts w:ascii="Times" w:hAnsi="Times"/>
        </w:rPr>
        <w:t>24 inches</w:t>
      </w:r>
      <w:r>
        <w:rPr>
          <w:rFonts w:ascii="Times" w:hAnsi="Times"/>
        </w:rPr>
        <w:t xml:space="preserve"> in width.</w:t>
      </w:r>
    </w:p>
    <w:p w:rsidR="00C1465B" w:rsidRDefault="00C1465B">
      <w:pPr>
        <w:pStyle w:val="PR2"/>
      </w:pPr>
      <w:r>
        <w:t xml:space="preserve">Doors </w:t>
      </w:r>
      <w:r>
        <w:rPr>
          <w:rStyle w:val="IP"/>
        </w:rPr>
        <w:t>48 Inches</w:t>
      </w:r>
      <w:r>
        <w:t xml:space="preserve"> or Less in Height:  </w:t>
      </w:r>
      <w:r>
        <w:rPr>
          <w:rStyle w:val="IP"/>
        </w:rPr>
        <w:t>3/4 inch</w:t>
      </w:r>
      <w:r>
        <w:t xml:space="preserve"> thick, with particleboard or medium-density fiberboard </w:t>
      </w:r>
      <w:r>
        <w:rPr>
          <w:rFonts w:ascii="Times" w:hAnsi="Times"/>
        </w:rPr>
        <w:t>cores, solid wood stiles and rails, and plastic-</w:t>
      </w:r>
      <w:r>
        <w:t>laminate faced on both sides.</w:t>
      </w:r>
    </w:p>
    <w:p w:rsidR="00C1465B" w:rsidRDefault="00C1465B">
      <w:pPr>
        <w:pStyle w:val="PR2"/>
      </w:pPr>
      <w:r>
        <w:t xml:space="preserve">Doors More Than </w:t>
      </w:r>
      <w:r>
        <w:rPr>
          <w:rStyle w:val="IP"/>
        </w:rPr>
        <w:t>48 Inches</w:t>
      </w:r>
      <w:r>
        <w:t xml:space="preserve"> in Height:  </w:t>
      </w:r>
      <w:r>
        <w:rPr>
          <w:rStyle w:val="IP"/>
        </w:rPr>
        <w:t>1-1/8 inches</w:t>
      </w:r>
      <w:r>
        <w:t xml:space="preserve"> thick, with particleboard cores, plastic-laminate faced on both sides.</w:t>
      </w:r>
    </w:p>
    <w:p w:rsidR="00C1465B" w:rsidRDefault="00C1465B">
      <w:pPr>
        <w:pStyle w:val="PR2"/>
      </w:pPr>
      <w:r>
        <w:t xml:space="preserve">Stiles and Rails of Glazed Doors:  </w:t>
      </w:r>
      <w:r>
        <w:rPr>
          <w:rStyle w:val="IP"/>
        </w:rPr>
        <w:t>3/4-inch-</w:t>
      </w:r>
      <w:r>
        <w:t xml:space="preserve"> thick particleboard, plastic-laminate faced on both sides.</w:t>
      </w:r>
    </w:p>
    <w:p w:rsidR="00C1465B" w:rsidRDefault="00C1465B">
      <w:pPr>
        <w:pStyle w:val="PR1"/>
      </w:pPr>
      <w:r>
        <w:t>Leg Shoes:  Vinyl or rubber, black, open-bottom type.</w:t>
      </w:r>
    </w:p>
    <w:p w:rsidR="00C1465B" w:rsidRDefault="00C1465B">
      <w:pPr>
        <w:pStyle w:val="PR1"/>
      </w:pPr>
      <w:r>
        <w:t xml:space="preserve">Utility-Space Framing:  Laboratory casework manufacturer's standard steel framing units consisting of 2 steel slotted channels complying with MFMA-2, not less than </w:t>
      </w:r>
      <w:r>
        <w:rPr>
          <w:rStyle w:val="IP"/>
        </w:rPr>
        <w:t>1-5/8 inches</w:t>
      </w:r>
      <w:r>
        <w:t xml:space="preserve"> square by </w:t>
      </w:r>
      <w:r>
        <w:rPr>
          <w:rStyle w:val="IP"/>
        </w:rPr>
        <w:t>0.0966 inch</w:t>
      </w:r>
      <w:r>
        <w:t xml:space="preserve"> thick, and connected together at top and bottom by U-shaped brackets made from </w:t>
      </w:r>
      <w:r>
        <w:rPr>
          <w:rStyle w:val="IP"/>
        </w:rPr>
        <w:t>1-1/4-by-1/4-inch</w:t>
      </w:r>
      <w:r>
        <w:t xml:space="preserve"> steel flat bars.  Framing units may be made by welding specified channel material into rectangular frames instead of using U-shaped brackets.</w:t>
      </w:r>
    </w:p>
    <w:p w:rsidR="00C1465B" w:rsidRDefault="00C1465B">
      <w:pPr>
        <w:pStyle w:val="PR1"/>
      </w:pPr>
      <w:r>
        <w:rPr>
          <w:rFonts w:ascii="Times" w:hAnsi="Times"/>
        </w:rPr>
        <w:t>Filler Strips and Utility-Space Closure Panels:  Provide as needed to close spaces between cabinets and walls, ceilings, and indicated equipment</w:t>
      </w:r>
      <w:r>
        <w:t>.  Fabricate from same material and with same finish as cabinet fronts.</w:t>
      </w:r>
    </w:p>
    <w:p w:rsidR="00C1465B" w:rsidRDefault="00C1465B">
      <w:pPr>
        <w:pStyle w:val="ART"/>
      </w:pPr>
      <w:r>
        <w:t>CABINET HARDWARE</w:t>
      </w:r>
    </w:p>
    <w:p w:rsidR="00C1465B" w:rsidRDefault="00C1465B">
      <w:pPr>
        <w:pStyle w:val="PR1"/>
        <w:outlineLvl w:val="9"/>
      </w:pPr>
      <w:r>
        <w:t>General:  Provide laboratory casework manufacturer's standard satin-finish, commercial-quality, heavy-duty hardware complying with requirements indicated for each type.</w:t>
      </w:r>
    </w:p>
    <w:p w:rsidR="00C1465B" w:rsidRDefault="00C1465B">
      <w:pPr>
        <w:pStyle w:val="PR1"/>
      </w:pPr>
      <w:r>
        <w:t xml:space="preserve">Hinges:  Stainless steel, 5-knuckle hinges complying with BHMA A156.9, Grade 1, with antifriction bearings and rounded tips.  Provide 2 for doors </w:t>
      </w:r>
      <w:r>
        <w:rPr>
          <w:rStyle w:val="IP"/>
        </w:rPr>
        <w:t>48 inches</w:t>
      </w:r>
      <w:r>
        <w:t xml:space="preserve"> or less in height and 3 for doors more than </w:t>
      </w:r>
      <w:r>
        <w:rPr>
          <w:rStyle w:val="IP"/>
        </w:rPr>
        <w:t>48 inches</w:t>
      </w:r>
      <w:r>
        <w:t xml:space="preserve"> in height.</w:t>
      </w:r>
    </w:p>
    <w:p w:rsidR="00C1465B" w:rsidRDefault="00C1465B">
      <w:pPr>
        <w:pStyle w:val="PR1"/>
      </w:pPr>
      <w:r>
        <w:t xml:space="preserve">Pulls:  Stainless steel, fastened from back with two screws.  For sliding doors, provide stainless steel recessed flush pulls.  Provide 2 pulls for drawers more than </w:t>
      </w:r>
      <w:r>
        <w:rPr>
          <w:rStyle w:val="IP"/>
        </w:rPr>
        <w:t>24 inches</w:t>
      </w:r>
      <w:r>
        <w:t xml:space="preserve"> in width.</w:t>
      </w:r>
    </w:p>
    <w:p w:rsidR="00C1465B" w:rsidRDefault="00C1465B">
      <w:pPr>
        <w:pStyle w:val="PR1"/>
      </w:pPr>
      <w:r>
        <w:t xml:space="preserve">Door Catches:  Nylon-roller spring catch with stainless steel strike, and rubber stops.  Provide 2 catches on doors more than </w:t>
      </w:r>
      <w:r>
        <w:rPr>
          <w:rStyle w:val="IP"/>
        </w:rPr>
        <w:t>48 inches</w:t>
      </w:r>
      <w:r>
        <w:t xml:space="preserve"> in height.</w:t>
      </w:r>
    </w:p>
    <w:p w:rsidR="00C1465B" w:rsidRDefault="00C1465B">
      <w:pPr>
        <w:pStyle w:val="PR1"/>
      </w:pPr>
      <w:r>
        <w:t>Drawer Slides:  Full suspension steel channels and runners, with minimum four ½ inch diameter nylon rollers; automatic positive cushioned stops; easy drawer removal, rebounding prevention springs; drawer front rubber bumpers.</w:t>
      </w:r>
    </w:p>
    <w:p w:rsidR="00C1465B" w:rsidRDefault="00C1465B">
      <w:pPr>
        <w:pStyle w:val="PR1"/>
      </w:pPr>
      <w:r>
        <w:t>Locks:  Manufacturer’s standard lockset with Best core, or Best lockset.</w:t>
      </w:r>
    </w:p>
    <w:p w:rsidR="00C1465B" w:rsidRDefault="00C1465B">
      <w:pPr>
        <w:pStyle w:val="PR1"/>
      </w:pPr>
      <w:r>
        <w:t>Sliding-Door Hardware Sets:  Laboratory casework manufacturer's standard, to suit type and size of sliding-door units.</w:t>
      </w:r>
    </w:p>
    <w:p w:rsidR="00C1465B" w:rsidRDefault="00C1465B">
      <w:pPr>
        <w:pStyle w:val="ART"/>
      </w:pPr>
      <w:r>
        <w:t>COUNTERTOPS AND SINKS</w:t>
      </w:r>
    </w:p>
    <w:p w:rsidR="00C1465B" w:rsidRDefault="00C1465B">
      <w:pPr>
        <w:pStyle w:val="PR1"/>
      </w:pPr>
      <w:r>
        <w:t>Plastic-Laminate Countertops and Shelves:</w:t>
      </w:r>
    </w:p>
    <w:p w:rsidR="00C1465B" w:rsidRDefault="00C1465B">
      <w:pPr>
        <w:pStyle w:val="PR2"/>
        <w:spacing w:before="240"/>
      </w:pPr>
      <w:r>
        <w:t xml:space="preserve">Countertops:  Plastic-laminate sheet, complying with NEMA LD 3, shop bonded with waterproof adhesive to both sides of </w:t>
      </w:r>
      <w:r>
        <w:rPr>
          <w:rStyle w:val="IP"/>
        </w:rPr>
        <w:t>3/4-inch-</w:t>
      </w:r>
      <w:r>
        <w:t>thick core.  Sand surfaces to which plastic laminate is to be bonded.</w:t>
      </w:r>
    </w:p>
    <w:p w:rsidR="00C1465B" w:rsidRDefault="00C1465B">
      <w:pPr>
        <w:pStyle w:val="PR2"/>
      </w:pPr>
      <w:r>
        <w:t>Plastic-Laminate Type for Flat Countertops:  HGS.</w:t>
      </w:r>
    </w:p>
    <w:p w:rsidR="00C1465B" w:rsidRDefault="00C1465B">
      <w:pPr>
        <w:pStyle w:val="PR2"/>
      </w:pPr>
      <w:r>
        <w:t>Plastic-Laminate Type for Shelves:  HGL.</w:t>
      </w:r>
    </w:p>
    <w:p w:rsidR="00C1465B" w:rsidRDefault="00C1465B">
      <w:pPr>
        <w:pStyle w:val="PR2"/>
      </w:pPr>
      <w:r>
        <w:t>Plastic-Laminate Type for Backing:  BKL.</w:t>
      </w:r>
    </w:p>
    <w:p w:rsidR="00C1465B" w:rsidRDefault="00C1465B">
      <w:pPr>
        <w:pStyle w:val="PR2"/>
      </w:pPr>
      <w:r>
        <w:t>Countertop Core:  Particleboard complying with ANSI A208.1, Grade M-2.</w:t>
      </w:r>
    </w:p>
    <w:p w:rsidR="00C1465B" w:rsidRDefault="00C1465B">
      <w:pPr>
        <w:pStyle w:val="PR2"/>
      </w:pPr>
      <w:r>
        <w:t>Adhesive for Bonding Plastic Laminate:  Urea-formaldehyde.</w:t>
      </w:r>
    </w:p>
    <w:p w:rsidR="00C1465B" w:rsidRDefault="00C1465B">
      <w:pPr>
        <w:pStyle w:val="PR2"/>
      </w:pPr>
      <w:r>
        <w:t>Finish front edges of countertops, faces and top edges of backsplashes and end splashes, and ends of countertops and splashes with same plastic laminate as top.</w:t>
      </w:r>
    </w:p>
    <w:p w:rsidR="00C1465B" w:rsidRDefault="00C1465B">
      <w:pPr>
        <w:pStyle w:val="PRT"/>
      </w:pPr>
      <w:r>
        <w:t>EXECUTION</w:t>
      </w:r>
    </w:p>
    <w:p w:rsidR="00C1465B" w:rsidRDefault="00C1465B">
      <w:pPr>
        <w:pStyle w:val="ART"/>
      </w:pPr>
      <w:r>
        <w:t>EXAMINATION</w:t>
      </w:r>
    </w:p>
    <w:p w:rsidR="00C1465B" w:rsidRDefault="00C1465B">
      <w:pPr>
        <w:pStyle w:val="PR1"/>
      </w:pPr>
      <w:r>
        <w:t>Examine areas, with Installer present, for compliance with requirements for installation tolerances, location of reinforcements, and other conditions affecting performance of plastic-laminate laboratory casework.</w:t>
      </w:r>
    </w:p>
    <w:p w:rsidR="00C1465B" w:rsidRDefault="00C1465B">
      <w:pPr>
        <w:pStyle w:val="PR2"/>
        <w:spacing w:before="240"/>
      </w:pPr>
      <w:r>
        <w:t>Proceed with installation only after unsatisfactory conditions have been corrected.</w:t>
      </w:r>
    </w:p>
    <w:p w:rsidR="00C1465B" w:rsidRDefault="00C1465B">
      <w:pPr>
        <w:pStyle w:val="ART"/>
      </w:pPr>
      <w:r>
        <w:t>INSTALLATION OF CABINETS</w:t>
      </w:r>
    </w:p>
    <w:p w:rsidR="00C1465B" w:rsidRDefault="00C1465B">
      <w:pPr>
        <w:pStyle w:val="PR1"/>
      </w:pPr>
      <w:r>
        <w:t>Install level, plumb, and true; shim as required, using concealed shims.  Where laboratory casework abuts other finished work, apply filler strips and scribe for accurate fit, with fasteners concealed where practical.</w:t>
      </w:r>
    </w:p>
    <w:p w:rsidR="00C1465B" w:rsidRDefault="00C1465B">
      <w:pPr>
        <w:pStyle w:val="PR1"/>
      </w:pPr>
      <w:r>
        <w:t xml:space="preserve">Base Cabinets:  Adjust top rails and subtops within </w:t>
      </w:r>
      <w:r>
        <w:rPr>
          <w:rStyle w:val="IP"/>
        </w:rPr>
        <w:t>1/16 inch</w:t>
      </w:r>
      <w:r>
        <w:t xml:space="preserve"> of a single plane.  Fasten cabinets to utility-space framing, partition framing, wood blocking, or reinforcements in partitions with fasteners spaced not more than </w:t>
      </w:r>
      <w:r>
        <w:rPr>
          <w:rStyle w:val="IP"/>
        </w:rPr>
        <w:t>24 inches</w:t>
      </w:r>
      <w:r>
        <w:t xml:space="preserve"> o.c.  Fasten adjacent cabinets together with joints flush, tight, and uniform.  Align similar adjoining doors and drawers to a tolerance of </w:t>
      </w:r>
      <w:r>
        <w:rPr>
          <w:rStyle w:val="IP"/>
        </w:rPr>
        <w:t>1/16 inch</w:t>
      </w:r>
      <w:r>
        <w:t>.</w:t>
      </w:r>
    </w:p>
    <w:p w:rsidR="00C1465B" w:rsidRDefault="00C1465B">
      <w:pPr>
        <w:pStyle w:val="PR2"/>
        <w:spacing w:before="240"/>
      </w:pPr>
      <w:r>
        <w:t xml:space="preserve">Where base cabinets are installed away from walls, fasten to floor at toe space at not more than </w:t>
      </w:r>
      <w:r>
        <w:rPr>
          <w:rStyle w:val="IP"/>
        </w:rPr>
        <w:t>24 inches</w:t>
      </w:r>
      <w:r>
        <w:t xml:space="preserve"> o.c. and at sides of cabinets with not less than 2 fasteners per side.</w:t>
      </w:r>
    </w:p>
    <w:p w:rsidR="00C1465B" w:rsidRDefault="00C1465B">
      <w:pPr>
        <w:pStyle w:val="PR1"/>
      </w:pPr>
      <w:r>
        <w:t xml:space="preserve">Wall Cabinets:  Adjust fronts and bottoms within </w:t>
      </w:r>
      <w:r>
        <w:rPr>
          <w:rStyle w:val="IP"/>
        </w:rPr>
        <w:t>1/16 inch</w:t>
      </w:r>
      <w:r>
        <w:t xml:space="preserve"> of a single plane.  Fasten to hanging strips, masonry, partition framing, blocking, or reinforcements in partitions.  Fasten each cabinet through back, near top, at not less than </w:t>
      </w:r>
      <w:r>
        <w:rPr>
          <w:rStyle w:val="IP"/>
        </w:rPr>
        <w:t>24 inches</w:t>
      </w:r>
      <w:r>
        <w:t xml:space="preserve"> o.c.  Align similar adjoining doors to a tolerance of </w:t>
      </w:r>
      <w:r>
        <w:rPr>
          <w:rStyle w:val="IP"/>
        </w:rPr>
        <w:t>1/16 inch</w:t>
      </w:r>
      <w:r>
        <w:t>.</w:t>
      </w:r>
    </w:p>
    <w:p w:rsidR="00C1465B" w:rsidRDefault="00C1465B">
      <w:pPr>
        <w:pStyle w:val="PR1"/>
      </w:pPr>
      <w:r>
        <w:t>Install hardware uniformly and precisely.  Set hinges snug and flat in mortises.</w:t>
      </w:r>
    </w:p>
    <w:p w:rsidR="00C1465B" w:rsidRDefault="00C1465B">
      <w:pPr>
        <w:pStyle w:val="PR1"/>
      </w:pPr>
      <w:r>
        <w:t>Adjust laboratory casework and hardware so doors and drawers align and operate smoothly without warp or bind and contact points meet accurately.  Lubricate operating hardware as recommended by manufacturer.</w:t>
      </w:r>
    </w:p>
    <w:p w:rsidR="00C1465B" w:rsidRDefault="00C1465B">
      <w:pPr>
        <w:pStyle w:val="ART"/>
      </w:pPr>
      <w:r>
        <w:t>INSTALLATION OF COUNTERTOPS</w:t>
      </w:r>
    </w:p>
    <w:p w:rsidR="00C1465B" w:rsidRDefault="00C1465B">
      <w:pPr>
        <w:pStyle w:val="PR1"/>
      </w:pPr>
      <w:r>
        <w:t>Abut top and edge surfaces in one true plane with flush hairline joints and with internal supports placed to prevent deflection.  Locate joints only where shown on Shop Drawings.</w:t>
      </w:r>
    </w:p>
    <w:p w:rsidR="00C1465B" w:rsidRDefault="00C1465B">
      <w:pPr>
        <w:pStyle w:val="PR1"/>
      </w:pPr>
      <w:r>
        <w:t>Field Jointing:  Where possible, make in the same manner as shop jointing using dowels, splines, adhesives, and fasteners recommended by manufacturer.  Prepare edges to be joined in shop.</w:t>
      </w:r>
    </w:p>
    <w:p w:rsidR="00C1465B" w:rsidRDefault="00C1465B">
      <w:pPr>
        <w:pStyle w:val="PR2"/>
        <w:spacing w:before="240"/>
      </w:pPr>
      <w:r>
        <w:t xml:space="preserve">Use concealed clamping devices for field joints in plastic-laminate countertops.  Locate clamping devices within </w:t>
      </w:r>
      <w:r>
        <w:rPr>
          <w:rStyle w:val="IP"/>
        </w:rPr>
        <w:t>6 inches</w:t>
      </w:r>
      <w:r>
        <w:t xml:space="preserve"> of front and back edges and at intervals not exceeding </w:t>
      </w:r>
      <w:r>
        <w:rPr>
          <w:rStyle w:val="IP"/>
        </w:rPr>
        <w:t>24 inches</w:t>
      </w:r>
      <w:r>
        <w:t>.  Tighten according to manufacturer's written instructions to exert a uniform heavy pressure at joints.</w:t>
      </w:r>
    </w:p>
    <w:p w:rsidR="00C1465B" w:rsidRDefault="00C1465B">
      <w:pPr>
        <w:pStyle w:val="PR1"/>
      </w:pPr>
      <w:r>
        <w:t>Fastening:</w:t>
      </w:r>
    </w:p>
    <w:p w:rsidR="00C1465B" w:rsidRDefault="00C1465B">
      <w:pPr>
        <w:pStyle w:val="PR2"/>
        <w:spacing w:before="240"/>
      </w:pPr>
      <w:r>
        <w:t xml:space="preserve">Secure epoxy countertops to cabinets with epoxy cement, applied at each corner and along perimeter edges at not more than </w:t>
      </w:r>
      <w:r>
        <w:rPr>
          <w:rStyle w:val="IP"/>
        </w:rPr>
        <w:t>48 inches</w:t>
      </w:r>
      <w:r>
        <w:t xml:space="preserve"> o.c.</w:t>
      </w:r>
    </w:p>
    <w:p w:rsidR="00C1465B" w:rsidRDefault="00C1465B">
      <w:pPr>
        <w:pStyle w:val="PR2"/>
      </w:pPr>
      <w:r>
        <w:t xml:space="preserve">Where necessary to penetrate countertops with fasteners, countersink heads approximately </w:t>
      </w:r>
      <w:r>
        <w:rPr>
          <w:rStyle w:val="IP"/>
        </w:rPr>
        <w:t>1/8 inch</w:t>
      </w:r>
      <w:r>
        <w:t xml:space="preserve"> and plug hole flush with material equal to countertop in chemical resistance, hardness, and appearance.</w:t>
      </w:r>
    </w:p>
    <w:p w:rsidR="00C1465B" w:rsidRDefault="00C1465B">
      <w:pPr>
        <w:pStyle w:val="PR1"/>
      </w:pPr>
      <w:r>
        <w:t>Provide required holes and cutouts for service fittings.</w:t>
      </w:r>
    </w:p>
    <w:p w:rsidR="00C1465B" w:rsidRDefault="00C1465B">
      <w:pPr>
        <w:pStyle w:val="PR1"/>
      </w:pPr>
      <w: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00C1465B" w:rsidRDefault="00C1465B">
      <w:pPr>
        <w:pStyle w:val="PR1"/>
      </w:pPr>
      <w:r>
        <w:t>Carefully dress joints smooth, remove surface scratches, and clean entire surface.</w:t>
      </w:r>
    </w:p>
    <w:p w:rsidR="00C1465B" w:rsidRDefault="00C1465B">
      <w:pPr>
        <w:pStyle w:val="ART"/>
      </w:pPr>
      <w:r>
        <w:t>INSTALLATION OF SERVICE FITTINGS</w:t>
      </w:r>
    </w:p>
    <w:p w:rsidR="00C1465B" w:rsidRPr="00AB6C8E" w:rsidRDefault="00C1465B">
      <w:pPr>
        <w:pStyle w:val="PR1"/>
      </w:pPr>
      <w:r w:rsidRPr="00AB6C8E">
        <w:t>Comply w</w:t>
      </w:r>
      <w:r w:rsidR="00AB6C8E" w:rsidRPr="00AB6C8E">
        <w:t>ith requirements in Divisions 22 and 2</w:t>
      </w:r>
      <w:r w:rsidRPr="00AB6C8E">
        <w:t>6 Sections for installing water and laboratory gas service fittings, piping, electrical devices, and wiring.</w:t>
      </w:r>
    </w:p>
    <w:p w:rsidR="00C1465B" w:rsidRDefault="00C1465B">
      <w:pPr>
        <w:pStyle w:val="ART"/>
      </w:pPr>
      <w:r>
        <w:t>CLEANING AND PROTECTING</w:t>
      </w:r>
    </w:p>
    <w:p w:rsidR="00C1465B" w:rsidRDefault="00C1465B">
      <w:pPr>
        <w:pStyle w:val="PR1"/>
      </w:pPr>
      <w:r>
        <w:t>Clean finished surfaces, touch up as required, and remove or refinish damaged or soiled areas to match original factory finish, as approved by Architect.</w:t>
      </w:r>
    </w:p>
    <w:p w:rsidR="00C1465B" w:rsidRDefault="00C1465B">
      <w:pPr>
        <w:pStyle w:val="PR1"/>
      </w:pPr>
      <w:r>
        <w:t xml:space="preserve">Protect countertop surfaces during construction with </w:t>
      </w:r>
      <w:r>
        <w:rPr>
          <w:rStyle w:val="IP"/>
        </w:rPr>
        <w:t>6-mil</w:t>
      </w:r>
      <w:r>
        <w:t xml:space="preserve"> plastic or other suitable water-resistant covering.  Tape to underside of countertop at minimum of </w:t>
      </w:r>
      <w:r>
        <w:rPr>
          <w:rStyle w:val="IP"/>
        </w:rPr>
        <w:t>48 inches</w:t>
      </w:r>
      <w:r>
        <w:t xml:space="preserve"> o.c.</w:t>
      </w:r>
    </w:p>
    <w:p w:rsidR="00C1465B" w:rsidRDefault="00C1465B">
      <w:pPr>
        <w:pStyle w:val="EOS"/>
      </w:pPr>
      <w:r>
        <w:t>END OF SECTION 123410</w:t>
      </w:r>
    </w:p>
    <w:sectPr w:rsidR="00C1465B" w:rsidSect="00D61FB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5C" w:rsidRDefault="00A00F5C">
      <w:r>
        <w:separator/>
      </w:r>
    </w:p>
  </w:endnote>
  <w:endnote w:type="continuationSeparator" w:id="1">
    <w:p w:rsidR="00A00F5C" w:rsidRDefault="00A00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B2" w:rsidRDefault="009D06B2">
    <w:pPr>
      <w:pStyle w:val="FTR"/>
      <w:rPr>
        <w:rStyle w:val="NAM"/>
      </w:rPr>
    </w:pPr>
    <w:r>
      <w:rPr>
        <w:rStyle w:val="NAM"/>
      </w:rPr>
      <w:t>123410</w:t>
    </w:r>
    <w:r w:rsidR="00AB6C8E">
      <w:rPr>
        <w:rStyle w:val="NAM"/>
      </w:rPr>
      <w:t>PlasticLaminateLaboratoryCasework.doc</w:t>
    </w:r>
    <w:r w:rsidR="00A341DC">
      <w:rPr>
        <w:rStyle w:val="NAM"/>
      </w:rPr>
      <w:t>x</w:t>
    </w:r>
  </w:p>
  <w:p w:rsidR="00C1465B" w:rsidRDefault="00F47FCE">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5C" w:rsidRDefault="00A00F5C">
      <w:r>
        <w:separator/>
      </w:r>
    </w:p>
  </w:footnote>
  <w:footnote w:type="continuationSeparator" w:id="1">
    <w:p w:rsidR="00A00F5C" w:rsidRDefault="00A0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5B" w:rsidRDefault="00C1465B">
    <w:pPr>
      <w:pStyle w:val="HDR"/>
      <w:rPr>
        <w:rStyle w:val="CPR"/>
      </w:rPr>
    </w:pPr>
    <w:r>
      <w:rPr>
        <w:rStyle w:val="CPR"/>
      </w:rPr>
      <w:t>Mic</w:t>
    </w:r>
    <w:r w:rsidR="009D06B2">
      <w:rPr>
        <w:rStyle w:val="CPR"/>
      </w:rPr>
      <w:t>higan State University</w:t>
    </w:r>
    <w:r w:rsidR="009D06B2">
      <w:rPr>
        <w:rStyle w:val="CPR"/>
      </w:rPr>
      <w:tab/>
    </w:r>
    <w:r w:rsidR="009D06B2">
      <w:rPr>
        <w:rStyle w:val="CPR"/>
      </w:rPr>
      <w:tab/>
      <w:t xml:space="preserve">PLASTIC </w:t>
    </w:r>
    <w:r>
      <w:rPr>
        <w:rStyle w:val="CPR"/>
      </w:rPr>
      <w:t>LAMINATE LABORATORY CASEWORK</w:t>
    </w:r>
  </w:p>
  <w:p w:rsidR="00C1465B" w:rsidRDefault="00C1465B">
    <w:pPr>
      <w:pStyle w:val="HDR"/>
    </w:pPr>
    <w:r>
      <w:rPr>
        <w:rStyle w:val="CPR"/>
      </w:rPr>
      <w:t>Construction Standards</w:t>
    </w:r>
    <w:r>
      <w:rPr>
        <w:rStyle w:val="CPR"/>
      </w:rPr>
      <w:tab/>
    </w:r>
    <w:r>
      <w:rPr>
        <w:rStyle w:val="CPR"/>
      </w:rPr>
      <w:tab/>
      <w:t xml:space="preserve">PAGE 123410 - </w:t>
    </w:r>
    <w:r w:rsidR="00BD679A">
      <w:rPr>
        <w:rStyle w:val="PageNumber"/>
      </w:rPr>
      <w:fldChar w:fldCharType="begin"/>
    </w:r>
    <w:r>
      <w:rPr>
        <w:rStyle w:val="PageNumber"/>
      </w:rPr>
      <w:instrText xml:space="preserve"> PAGE </w:instrText>
    </w:r>
    <w:r w:rsidR="00BD679A">
      <w:rPr>
        <w:rStyle w:val="PageNumber"/>
      </w:rPr>
      <w:fldChar w:fldCharType="separate"/>
    </w:r>
    <w:r w:rsidR="00E971C2">
      <w:rPr>
        <w:rStyle w:val="PageNumber"/>
        <w:noProof/>
      </w:rPr>
      <w:t>1</w:t>
    </w:r>
    <w:r w:rsidR="00BD679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9B4A3A"/>
    <w:rsid w:val="00215F93"/>
    <w:rsid w:val="009B4A3A"/>
    <w:rsid w:val="009C4C4C"/>
    <w:rsid w:val="009D06B2"/>
    <w:rsid w:val="00A00F5C"/>
    <w:rsid w:val="00A341DC"/>
    <w:rsid w:val="00AB6C8E"/>
    <w:rsid w:val="00BD679A"/>
    <w:rsid w:val="00C1465B"/>
    <w:rsid w:val="00D61FB8"/>
    <w:rsid w:val="00D95AC4"/>
    <w:rsid w:val="00E32E9C"/>
    <w:rsid w:val="00E971C2"/>
    <w:rsid w:val="00F4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61FB8"/>
    <w:pPr>
      <w:tabs>
        <w:tab w:val="center" w:pos="4608"/>
        <w:tab w:val="right" w:pos="9360"/>
      </w:tabs>
      <w:suppressAutoHyphens/>
      <w:jc w:val="both"/>
    </w:pPr>
  </w:style>
  <w:style w:type="paragraph" w:customStyle="1" w:styleId="FTR">
    <w:name w:val="FTR"/>
    <w:basedOn w:val="Normal"/>
    <w:rsid w:val="00D61FB8"/>
    <w:pPr>
      <w:tabs>
        <w:tab w:val="right" w:pos="9360"/>
      </w:tabs>
      <w:suppressAutoHyphens/>
      <w:jc w:val="both"/>
    </w:pPr>
  </w:style>
  <w:style w:type="paragraph" w:customStyle="1" w:styleId="SCT">
    <w:name w:val="SCT"/>
    <w:basedOn w:val="Normal"/>
    <w:next w:val="PRT"/>
    <w:rsid w:val="00D61FB8"/>
    <w:pPr>
      <w:suppressAutoHyphens/>
      <w:spacing w:before="240"/>
      <w:jc w:val="both"/>
    </w:pPr>
  </w:style>
  <w:style w:type="paragraph" w:customStyle="1" w:styleId="PRT">
    <w:name w:val="PRT"/>
    <w:basedOn w:val="Normal"/>
    <w:next w:val="ART"/>
    <w:rsid w:val="00D61FB8"/>
    <w:pPr>
      <w:keepNext/>
      <w:numPr>
        <w:numId w:val="1"/>
      </w:numPr>
      <w:suppressAutoHyphens/>
      <w:spacing w:before="480"/>
      <w:jc w:val="both"/>
      <w:outlineLvl w:val="0"/>
    </w:pPr>
  </w:style>
  <w:style w:type="paragraph" w:customStyle="1" w:styleId="SUT">
    <w:name w:val="SUT"/>
    <w:basedOn w:val="Normal"/>
    <w:next w:val="PR1"/>
    <w:rsid w:val="00D61FB8"/>
    <w:pPr>
      <w:numPr>
        <w:ilvl w:val="1"/>
        <w:numId w:val="1"/>
      </w:numPr>
      <w:suppressAutoHyphens/>
      <w:spacing w:before="240"/>
      <w:jc w:val="both"/>
      <w:outlineLvl w:val="0"/>
    </w:pPr>
  </w:style>
  <w:style w:type="paragraph" w:customStyle="1" w:styleId="DST">
    <w:name w:val="DST"/>
    <w:basedOn w:val="Normal"/>
    <w:next w:val="PR1"/>
    <w:rsid w:val="00D61FB8"/>
    <w:pPr>
      <w:numPr>
        <w:ilvl w:val="2"/>
        <w:numId w:val="1"/>
      </w:numPr>
      <w:suppressAutoHyphens/>
      <w:spacing w:before="240"/>
      <w:jc w:val="both"/>
      <w:outlineLvl w:val="0"/>
    </w:pPr>
  </w:style>
  <w:style w:type="paragraph" w:customStyle="1" w:styleId="ART">
    <w:name w:val="ART"/>
    <w:basedOn w:val="Normal"/>
    <w:next w:val="PR1"/>
    <w:rsid w:val="00D61FB8"/>
    <w:pPr>
      <w:keepNext/>
      <w:numPr>
        <w:ilvl w:val="3"/>
        <w:numId w:val="1"/>
      </w:numPr>
      <w:suppressAutoHyphens/>
      <w:spacing w:before="480"/>
      <w:jc w:val="both"/>
      <w:outlineLvl w:val="1"/>
    </w:pPr>
  </w:style>
  <w:style w:type="paragraph" w:customStyle="1" w:styleId="PR1">
    <w:name w:val="PR1"/>
    <w:basedOn w:val="Normal"/>
    <w:rsid w:val="00D61FB8"/>
    <w:pPr>
      <w:numPr>
        <w:ilvl w:val="4"/>
        <w:numId w:val="1"/>
      </w:numPr>
      <w:suppressAutoHyphens/>
      <w:spacing w:before="240"/>
      <w:jc w:val="both"/>
      <w:outlineLvl w:val="2"/>
    </w:pPr>
  </w:style>
  <w:style w:type="paragraph" w:customStyle="1" w:styleId="PR2">
    <w:name w:val="PR2"/>
    <w:basedOn w:val="Normal"/>
    <w:rsid w:val="00D61FB8"/>
    <w:pPr>
      <w:numPr>
        <w:ilvl w:val="5"/>
        <w:numId w:val="1"/>
      </w:numPr>
      <w:suppressAutoHyphens/>
      <w:jc w:val="both"/>
      <w:outlineLvl w:val="3"/>
    </w:pPr>
  </w:style>
  <w:style w:type="paragraph" w:customStyle="1" w:styleId="PR3">
    <w:name w:val="PR3"/>
    <w:basedOn w:val="Normal"/>
    <w:rsid w:val="00D61FB8"/>
    <w:pPr>
      <w:numPr>
        <w:ilvl w:val="6"/>
        <w:numId w:val="1"/>
      </w:numPr>
      <w:suppressAutoHyphens/>
      <w:jc w:val="both"/>
      <w:outlineLvl w:val="4"/>
    </w:pPr>
  </w:style>
  <w:style w:type="paragraph" w:customStyle="1" w:styleId="PR4">
    <w:name w:val="PR4"/>
    <w:basedOn w:val="Normal"/>
    <w:rsid w:val="00D61FB8"/>
    <w:pPr>
      <w:numPr>
        <w:ilvl w:val="7"/>
        <w:numId w:val="1"/>
      </w:numPr>
      <w:suppressAutoHyphens/>
      <w:jc w:val="both"/>
      <w:outlineLvl w:val="5"/>
    </w:pPr>
  </w:style>
  <w:style w:type="paragraph" w:customStyle="1" w:styleId="PR5">
    <w:name w:val="PR5"/>
    <w:basedOn w:val="Normal"/>
    <w:rsid w:val="00D61FB8"/>
    <w:pPr>
      <w:numPr>
        <w:ilvl w:val="8"/>
        <w:numId w:val="1"/>
      </w:numPr>
      <w:suppressAutoHyphens/>
      <w:jc w:val="both"/>
      <w:outlineLvl w:val="6"/>
    </w:pPr>
  </w:style>
  <w:style w:type="paragraph" w:customStyle="1" w:styleId="TB1">
    <w:name w:val="TB1"/>
    <w:basedOn w:val="Normal"/>
    <w:next w:val="PR1"/>
    <w:rsid w:val="00D61FB8"/>
    <w:pPr>
      <w:suppressAutoHyphens/>
      <w:spacing w:before="240"/>
      <w:ind w:left="288"/>
      <w:jc w:val="both"/>
    </w:pPr>
  </w:style>
  <w:style w:type="paragraph" w:customStyle="1" w:styleId="TB2">
    <w:name w:val="TB2"/>
    <w:basedOn w:val="Normal"/>
    <w:next w:val="PR2"/>
    <w:rsid w:val="00D61FB8"/>
    <w:pPr>
      <w:suppressAutoHyphens/>
      <w:spacing w:before="240"/>
      <w:ind w:left="864"/>
      <w:jc w:val="both"/>
    </w:pPr>
  </w:style>
  <w:style w:type="paragraph" w:customStyle="1" w:styleId="TB3">
    <w:name w:val="TB3"/>
    <w:basedOn w:val="Normal"/>
    <w:next w:val="PR3"/>
    <w:rsid w:val="00D61FB8"/>
    <w:pPr>
      <w:suppressAutoHyphens/>
      <w:spacing w:before="240"/>
      <w:ind w:left="1440"/>
      <w:jc w:val="both"/>
    </w:pPr>
  </w:style>
  <w:style w:type="paragraph" w:customStyle="1" w:styleId="TB4">
    <w:name w:val="TB4"/>
    <w:basedOn w:val="Normal"/>
    <w:next w:val="PR4"/>
    <w:rsid w:val="00D61FB8"/>
    <w:pPr>
      <w:suppressAutoHyphens/>
      <w:spacing w:before="240"/>
      <w:ind w:left="2016"/>
      <w:jc w:val="both"/>
    </w:pPr>
  </w:style>
  <w:style w:type="paragraph" w:customStyle="1" w:styleId="TB5">
    <w:name w:val="TB5"/>
    <w:basedOn w:val="Normal"/>
    <w:next w:val="PR5"/>
    <w:rsid w:val="00D61FB8"/>
    <w:pPr>
      <w:suppressAutoHyphens/>
      <w:spacing w:before="240"/>
      <w:ind w:left="2592"/>
      <w:jc w:val="both"/>
    </w:pPr>
  </w:style>
  <w:style w:type="paragraph" w:customStyle="1" w:styleId="TF1">
    <w:name w:val="TF1"/>
    <w:basedOn w:val="Normal"/>
    <w:next w:val="TB1"/>
    <w:rsid w:val="00D61FB8"/>
    <w:pPr>
      <w:suppressAutoHyphens/>
      <w:spacing w:before="240"/>
      <w:ind w:left="288"/>
      <w:jc w:val="both"/>
    </w:pPr>
  </w:style>
  <w:style w:type="paragraph" w:customStyle="1" w:styleId="TF2">
    <w:name w:val="TF2"/>
    <w:basedOn w:val="Normal"/>
    <w:next w:val="TB2"/>
    <w:rsid w:val="00D61FB8"/>
    <w:pPr>
      <w:suppressAutoHyphens/>
      <w:spacing w:before="240"/>
      <w:ind w:left="864"/>
      <w:jc w:val="both"/>
    </w:pPr>
  </w:style>
  <w:style w:type="paragraph" w:customStyle="1" w:styleId="TF3">
    <w:name w:val="TF3"/>
    <w:basedOn w:val="Normal"/>
    <w:next w:val="TB3"/>
    <w:rsid w:val="00D61FB8"/>
    <w:pPr>
      <w:suppressAutoHyphens/>
      <w:spacing w:before="240"/>
      <w:ind w:left="1440"/>
      <w:jc w:val="both"/>
    </w:pPr>
  </w:style>
  <w:style w:type="paragraph" w:customStyle="1" w:styleId="TF4">
    <w:name w:val="TF4"/>
    <w:basedOn w:val="Normal"/>
    <w:next w:val="TB4"/>
    <w:rsid w:val="00D61FB8"/>
    <w:pPr>
      <w:suppressAutoHyphens/>
      <w:spacing w:before="240"/>
      <w:ind w:left="2016"/>
      <w:jc w:val="both"/>
    </w:pPr>
  </w:style>
  <w:style w:type="paragraph" w:customStyle="1" w:styleId="TF5">
    <w:name w:val="TF5"/>
    <w:basedOn w:val="Normal"/>
    <w:next w:val="TB5"/>
    <w:rsid w:val="00D61FB8"/>
    <w:pPr>
      <w:suppressAutoHyphens/>
      <w:spacing w:before="240"/>
      <w:ind w:left="2592"/>
      <w:jc w:val="both"/>
    </w:pPr>
  </w:style>
  <w:style w:type="paragraph" w:customStyle="1" w:styleId="TCH">
    <w:name w:val="TCH"/>
    <w:basedOn w:val="Normal"/>
    <w:rsid w:val="00D61FB8"/>
    <w:pPr>
      <w:suppressAutoHyphens/>
    </w:pPr>
  </w:style>
  <w:style w:type="paragraph" w:customStyle="1" w:styleId="TCE">
    <w:name w:val="TCE"/>
    <w:basedOn w:val="Normal"/>
    <w:rsid w:val="00D61FB8"/>
    <w:pPr>
      <w:suppressAutoHyphens/>
      <w:ind w:left="144" w:hanging="144"/>
    </w:pPr>
  </w:style>
  <w:style w:type="paragraph" w:customStyle="1" w:styleId="EOS">
    <w:name w:val="EOS"/>
    <w:basedOn w:val="Normal"/>
    <w:rsid w:val="00D61FB8"/>
    <w:pPr>
      <w:suppressAutoHyphens/>
      <w:spacing w:before="480"/>
      <w:jc w:val="both"/>
    </w:pPr>
  </w:style>
  <w:style w:type="paragraph" w:customStyle="1" w:styleId="ANT">
    <w:name w:val="ANT"/>
    <w:basedOn w:val="Normal"/>
    <w:rsid w:val="00D61FB8"/>
    <w:pPr>
      <w:suppressAutoHyphens/>
      <w:spacing w:before="240"/>
      <w:jc w:val="both"/>
    </w:pPr>
    <w:rPr>
      <w:vanish/>
      <w:color w:val="800080"/>
      <w:u w:val="single"/>
    </w:rPr>
  </w:style>
  <w:style w:type="paragraph" w:customStyle="1" w:styleId="CMT">
    <w:name w:val="CMT"/>
    <w:basedOn w:val="Normal"/>
    <w:rsid w:val="00D61FB8"/>
    <w:pPr>
      <w:suppressAutoHyphens/>
      <w:spacing w:before="240"/>
      <w:jc w:val="both"/>
    </w:pPr>
    <w:rPr>
      <w:vanish/>
      <w:color w:val="0000FF"/>
    </w:rPr>
  </w:style>
  <w:style w:type="character" w:customStyle="1" w:styleId="CPR">
    <w:name w:val="CPR"/>
    <w:basedOn w:val="DefaultParagraphFont"/>
    <w:rsid w:val="00D61FB8"/>
    <w:rPr>
      <w:rFonts w:cs="Times New Roman"/>
    </w:rPr>
  </w:style>
  <w:style w:type="character" w:customStyle="1" w:styleId="SPN">
    <w:name w:val="SPN"/>
    <w:basedOn w:val="DefaultParagraphFont"/>
    <w:rsid w:val="00D61FB8"/>
    <w:rPr>
      <w:rFonts w:cs="Times New Roman"/>
    </w:rPr>
  </w:style>
  <w:style w:type="character" w:customStyle="1" w:styleId="SPD">
    <w:name w:val="SPD"/>
    <w:basedOn w:val="DefaultParagraphFont"/>
    <w:rsid w:val="00D61FB8"/>
    <w:rPr>
      <w:rFonts w:cs="Times New Roman"/>
    </w:rPr>
  </w:style>
  <w:style w:type="character" w:customStyle="1" w:styleId="NUM">
    <w:name w:val="NUM"/>
    <w:basedOn w:val="DefaultParagraphFont"/>
    <w:rsid w:val="00D61FB8"/>
    <w:rPr>
      <w:rFonts w:cs="Times New Roman"/>
    </w:rPr>
  </w:style>
  <w:style w:type="character" w:customStyle="1" w:styleId="NAM">
    <w:name w:val="NAM"/>
    <w:basedOn w:val="DefaultParagraphFont"/>
    <w:rsid w:val="00D61FB8"/>
    <w:rPr>
      <w:rFonts w:cs="Times New Roman"/>
    </w:rPr>
  </w:style>
  <w:style w:type="character" w:customStyle="1" w:styleId="SI">
    <w:name w:val="SI"/>
    <w:basedOn w:val="DefaultParagraphFont"/>
    <w:rsid w:val="00D61FB8"/>
    <w:rPr>
      <w:rFonts w:cs="Times New Roman"/>
      <w:color w:val="008080"/>
    </w:rPr>
  </w:style>
  <w:style w:type="character" w:customStyle="1" w:styleId="IP">
    <w:name w:val="IP"/>
    <w:basedOn w:val="DefaultParagraphFont"/>
    <w:rsid w:val="00D61FB8"/>
    <w:rPr>
      <w:rFonts w:cs="Times New Roman"/>
      <w:color w:val="000000"/>
    </w:rPr>
  </w:style>
  <w:style w:type="paragraph" w:styleId="Header">
    <w:name w:val="header"/>
    <w:basedOn w:val="Normal"/>
    <w:link w:val="HeaderChar"/>
    <w:uiPriority w:val="99"/>
    <w:semiHidden/>
    <w:rsid w:val="00D61FB8"/>
    <w:pPr>
      <w:tabs>
        <w:tab w:val="center" w:pos="4320"/>
        <w:tab w:val="right" w:pos="8640"/>
      </w:tabs>
    </w:pPr>
  </w:style>
  <w:style w:type="character" w:customStyle="1" w:styleId="HeaderChar">
    <w:name w:val="Header Char"/>
    <w:basedOn w:val="DefaultParagraphFont"/>
    <w:link w:val="Header"/>
    <w:uiPriority w:val="99"/>
    <w:semiHidden/>
    <w:rsid w:val="00F44591"/>
    <w:rPr>
      <w:sz w:val="22"/>
    </w:rPr>
  </w:style>
  <w:style w:type="paragraph" w:styleId="Footer">
    <w:name w:val="footer"/>
    <w:basedOn w:val="Normal"/>
    <w:link w:val="FooterChar"/>
    <w:uiPriority w:val="99"/>
    <w:semiHidden/>
    <w:rsid w:val="00D61FB8"/>
    <w:pPr>
      <w:tabs>
        <w:tab w:val="center" w:pos="4320"/>
        <w:tab w:val="right" w:pos="8640"/>
      </w:tabs>
    </w:pPr>
  </w:style>
  <w:style w:type="character" w:customStyle="1" w:styleId="FooterChar">
    <w:name w:val="Footer Char"/>
    <w:basedOn w:val="DefaultParagraphFont"/>
    <w:link w:val="Footer"/>
    <w:uiPriority w:val="99"/>
    <w:semiHidden/>
    <w:rsid w:val="00F44591"/>
    <w:rPr>
      <w:sz w:val="22"/>
    </w:rPr>
  </w:style>
  <w:style w:type="character" w:styleId="PageNumber">
    <w:name w:val="page number"/>
    <w:basedOn w:val="DefaultParagraphFont"/>
    <w:uiPriority w:val="99"/>
    <w:semiHidden/>
    <w:rsid w:val="00D61F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12363 - PLASTIC-LAMINATE LABORATORY CASEWORK</vt:lpstr>
    </vt:vector>
  </TitlesOfParts>
  <Company>ARCOM</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12363 - PLASTIC-LAMINATE LABORATORY CASEWORK</dc:title>
  <dc:subject>PLASTIC-LAMINATE LABORATORY CASEWORK</dc:subject>
  <dc:creator>ARCOM, Inc.</dc:creator>
  <cp:keywords>BAS-12345-MS80</cp:keywords>
  <dc:description/>
  <cp:lastModifiedBy>bjhought</cp:lastModifiedBy>
  <cp:revision>4</cp:revision>
  <cp:lastPrinted>2004-04-14T15:10:00Z</cp:lastPrinted>
  <dcterms:created xsi:type="dcterms:W3CDTF">2008-12-05T19:22:00Z</dcterms:created>
  <dcterms:modified xsi:type="dcterms:W3CDTF">2009-02-26T14:47:00Z</dcterms:modified>
  <cp:contentStatus/>
</cp:coreProperties>
</file>