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79" w:rsidRDefault="004E5F79">
      <w:pPr>
        <w:pStyle w:val="CMT"/>
      </w:pPr>
      <w:r>
        <w:t>Copyright 2003 and 2005 by The American Institute of Architects (AIA)</w:t>
      </w:r>
    </w:p>
    <w:p w:rsidR="004E5F79" w:rsidRDefault="004E5F79">
      <w:pPr>
        <w:pStyle w:val="CMT"/>
      </w:pPr>
      <w:r>
        <w:t>Exclusively published and distributed by Architectural Computer Services, Inc. (ARCOM) for the AIA</w:t>
      </w:r>
    </w:p>
    <w:p w:rsidR="00FB250A" w:rsidRDefault="00FB250A">
      <w:pPr>
        <w:pStyle w:val="CMT"/>
      </w:pPr>
      <w:r>
        <w:t>Modified by MSU Physical Plant / Engineering and Architectural Services</w:t>
      </w:r>
    </w:p>
    <w:p w:rsidR="004E5F79" w:rsidRDefault="004E5F79">
      <w:pPr>
        <w:pStyle w:val="SCT"/>
      </w:pPr>
      <w:r>
        <w:t xml:space="preserve">SECTION </w:t>
      </w:r>
      <w:r>
        <w:rPr>
          <w:rStyle w:val="NUM"/>
        </w:rPr>
        <w:t>238413</w:t>
      </w:r>
      <w:r>
        <w:t xml:space="preserve"> - </w:t>
      </w:r>
      <w:r>
        <w:rPr>
          <w:rStyle w:val="NAM"/>
        </w:rPr>
        <w:t>HUMIDIFIERS</w:t>
      </w:r>
    </w:p>
    <w:p w:rsidR="004E5F79" w:rsidRDefault="004E5F79">
      <w:pPr>
        <w:pStyle w:val="PRT"/>
      </w:pPr>
      <w:r>
        <w:t>GENERAL</w:t>
      </w:r>
    </w:p>
    <w:p w:rsidR="004E5F79" w:rsidRDefault="004E5F79">
      <w:pPr>
        <w:pStyle w:val="ART"/>
      </w:pPr>
      <w:r>
        <w:t>RELATED DOCUMENTS</w:t>
      </w:r>
    </w:p>
    <w:p w:rsidR="004E5F79" w:rsidRDefault="004E5F79">
      <w:pPr>
        <w:pStyle w:val="PR1"/>
      </w:pPr>
      <w:r>
        <w:t>Drawings and general provisions of the Contract, including General and Supplementary Conditions and Division 01 Specification Sections, apply to this Section.</w:t>
      </w:r>
    </w:p>
    <w:p w:rsidR="004E5F79" w:rsidRDefault="004E5F79">
      <w:pPr>
        <w:pStyle w:val="ART"/>
      </w:pPr>
      <w:r>
        <w:t>SUMMARY</w:t>
      </w:r>
    </w:p>
    <w:p w:rsidR="004E5F79" w:rsidRDefault="004E5F79">
      <w:pPr>
        <w:pStyle w:val="PR1"/>
      </w:pPr>
      <w:r>
        <w:t>This Section includes the following humidifiers:</w:t>
      </w:r>
    </w:p>
    <w:p w:rsidR="00FB250A" w:rsidRDefault="00FB250A" w:rsidP="00FB250A">
      <w:pPr>
        <w:pStyle w:val="PR2"/>
        <w:numPr>
          <w:ilvl w:val="0"/>
          <w:numId w:val="0"/>
        </w:numPr>
        <w:ind w:left="1440"/>
      </w:pPr>
    </w:p>
    <w:p w:rsidR="004E5F79" w:rsidRDefault="004E5F79">
      <w:pPr>
        <w:pStyle w:val="PR2"/>
      </w:pPr>
      <w:r>
        <w:t>Steam injection.</w:t>
      </w:r>
    </w:p>
    <w:p w:rsidR="004E5F79" w:rsidRDefault="004E5F79">
      <w:pPr>
        <w:pStyle w:val="ART"/>
      </w:pPr>
      <w:r>
        <w:t>SUBMITTALS</w:t>
      </w:r>
    </w:p>
    <w:p w:rsidR="004E5F79" w:rsidRDefault="004E5F79">
      <w:pPr>
        <w:pStyle w:val="PR1"/>
      </w:pPr>
      <w:r>
        <w:t>Product Data:  Include rated capacities, operating characteristics, furnished specialties, and accessories.</w:t>
      </w:r>
    </w:p>
    <w:p w:rsidR="004E5F79" w:rsidRDefault="004E5F79">
      <w:pPr>
        <w:pStyle w:val="PR1"/>
      </w:pPr>
      <w:r>
        <w:t xml:space="preserve">Shop Drawings:  Detail fabrication and installation of humidifiers.  Include piping details, plans, elevations, </w:t>
      </w:r>
      <w:proofErr w:type="gramStart"/>
      <w:r>
        <w:t>sections</w:t>
      </w:r>
      <w:proofErr w:type="gramEnd"/>
      <w:r>
        <w:t>, details of components, manifolds, and attachments to other work.</w:t>
      </w:r>
    </w:p>
    <w:p w:rsidR="004E5F79" w:rsidRDefault="004E5F79">
      <w:pPr>
        <w:pStyle w:val="PR1"/>
      </w:pPr>
      <w:r>
        <w:t>Field quality-control test reports.</w:t>
      </w:r>
    </w:p>
    <w:p w:rsidR="004E5F79" w:rsidRDefault="004E5F79">
      <w:pPr>
        <w:pStyle w:val="PR1"/>
      </w:pPr>
      <w:r>
        <w:t>Operation and Maintenance Data:  For humidifiers to include in operation and maintenance manuals.</w:t>
      </w:r>
    </w:p>
    <w:p w:rsidR="004E5F79" w:rsidRDefault="004E5F79">
      <w:pPr>
        <w:pStyle w:val="ART"/>
      </w:pPr>
      <w:r>
        <w:t>QUALITY ASSURANCE</w:t>
      </w:r>
    </w:p>
    <w:p w:rsidR="004E5F79" w:rsidRDefault="004E5F79">
      <w:pPr>
        <w:pStyle w:val="PR1"/>
      </w:pPr>
      <w:r>
        <w:t>Comply with ARI 640, "Commercial and Industrial Humidifiers."</w:t>
      </w:r>
    </w:p>
    <w:p w:rsidR="004E5F79" w:rsidRDefault="004E5F79">
      <w:pPr>
        <w:pStyle w:val="ART"/>
      </w:pPr>
      <w:r>
        <w:t>COORDINATION</w:t>
      </w:r>
    </w:p>
    <w:p w:rsidR="004E5F79" w:rsidRDefault="004E5F79">
      <w:pPr>
        <w:pStyle w:val="PR1"/>
      </w:pPr>
      <w:r>
        <w:t>Coordinate location and installation of humidifiers with manifolds in ducts and air-handling units or occupied space.  Revise locations and elevations to suit field conditions and to ensure proper humidifier operation.</w:t>
      </w:r>
    </w:p>
    <w:p w:rsidR="004E5F79" w:rsidRDefault="004E5F79">
      <w:pPr>
        <w:pStyle w:val="PRT"/>
      </w:pPr>
      <w:r>
        <w:lastRenderedPageBreak/>
        <w:t>PRODUCTS</w:t>
      </w:r>
    </w:p>
    <w:p w:rsidR="004E5F79" w:rsidRDefault="004E5F79">
      <w:pPr>
        <w:pStyle w:val="ART"/>
      </w:pPr>
      <w:r>
        <w:t>STEAM-INJECTION HUMIDIFIERS</w:t>
      </w:r>
    </w:p>
    <w:p w:rsidR="004E5F79" w:rsidRDefault="004E5F79">
      <w:pPr>
        <w:pStyle w:val="PR1"/>
      </w:pPr>
      <w:r>
        <w:t>Manufacturers:  Subject to compliance with requirements, provide products by one of the following:</w:t>
      </w:r>
    </w:p>
    <w:p w:rsidR="004E5F79" w:rsidRDefault="004E5F79">
      <w:pPr>
        <w:pStyle w:val="PR2"/>
        <w:spacing w:before="240"/>
      </w:pPr>
      <w:r>
        <w:t>Armstrong International, Inc.</w:t>
      </w:r>
    </w:p>
    <w:p w:rsidR="004E5F79" w:rsidRDefault="004E5F79">
      <w:pPr>
        <w:pStyle w:val="PR2"/>
      </w:pPr>
      <w:r>
        <w:t>DRI-STEEM Humidifier Company.</w:t>
      </w:r>
    </w:p>
    <w:p w:rsidR="004E5F79" w:rsidRDefault="004E5F79">
      <w:pPr>
        <w:pStyle w:val="PR2"/>
      </w:pPr>
      <w:proofErr w:type="spellStart"/>
      <w:r>
        <w:t>Nortec</w:t>
      </w:r>
      <w:proofErr w:type="spellEnd"/>
      <w:r>
        <w:t xml:space="preserve"> Industries Inc.</w:t>
      </w:r>
    </w:p>
    <w:p w:rsidR="004E5F79" w:rsidRDefault="004E5F79">
      <w:pPr>
        <w:pStyle w:val="PR2"/>
      </w:pPr>
      <w:r>
        <w:t>Pure Humidifier Company.</w:t>
      </w:r>
    </w:p>
    <w:p w:rsidR="004E5F79" w:rsidRDefault="004E5F79" w:rsidP="00A71EE9">
      <w:pPr>
        <w:pStyle w:val="PRN"/>
      </w:pPr>
      <w:r>
        <w:t>Retain one of first two paragraphs and associated subparagraphs below.  Retain first for duct-mounting or plenum-mounting humidifier, second if humidifier discharges directly into occupied space.</w:t>
      </w:r>
    </w:p>
    <w:p w:rsidR="004E5F79" w:rsidRDefault="004E5F79">
      <w:pPr>
        <w:pStyle w:val="PR1"/>
      </w:pPr>
      <w:r>
        <w:t>Manifold:  ASTM A 666, Type 304 stainless steel</w:t>
      </w:r>
      <w:r w:rsidRPr="00FB250A">
        <w:t>, steam jacketed;</w:t>
      </w:r>
      <w:r>
        <w:t xml:space="preserve"> extending the full width of duct or plenum with mounting brackets at ends.</w:t>
      </w:r>
    </w:p>
    <w:p w:rsidR="004E5F79" w:rsidRDefault="004E5F79">
      <w:pPr>
        <w:pStyle w:val="PR1"/>
      </w:pPr>
      <w:r>
        <w:t>Discharge Nozzle and Dispersion Fan:</w:t>
      </w:r>
    </w:p>
    <w:p w:rsidR="004E5F79" w:rsidRDefault="004E5F79">
      <w:pPr>
        <w:pStyle w:val="PR2"/>
        <w:spacing w:before="240"/>
      </w:pPr>
      <w:r>
        <w:t>Steam-jacketed discharge nozzle, aluminum blade propeller fan with finger guard, and single-speed motor interlocked to operate with humidifier.</w:t>
      </w:r>
    </w:p>
    <w:p w:rsidR="004E5F79" w:rsidRDefault="004E5F79">
      <w:pPr>
        <w:pStyle w:val="PR2"/>
      </w:pPr>
      <w:r>
        <w:t>Fan Mounting:  Above and behind discharge outlet on bracket integral to discharge outlet.</w:t>
      </w:r>
    </w:p>
    <w:p w:rsidR="004E5F79" w:rsidRDefault="004E5F79">
      <w:pPr>
        <w:pStyle w:val="PR1"/>
      </w:pPr>
      <w:r>
        <w:t xml:space="preserve">Steam Separator:  </w:t>
      </w:r>
      <w:r w:rsidRPr="00FB250A">
        <w:t>Cast iron</w:t>
      </w:r>
      <w:r>
        <w:t xml:space="preserve"> with </w:t>
      </w:r>
      <w:r w:rsidRPr="00FB250A">
        <w:t>separate </w:t>
      </w:r>
      <w:r>
        <w:t>humidifier control valve.</w:t>
      </w:r>
    </w:p>
    <w:p w:rsidR="004E5F79" w:rsidRDefault="004E5F79">
      <w:pPr>
        <w:pStyle w:val="PR1"/>
      </w:pPr>
      <w:r>
        <w:t>Humidifier Control Valve:</w:t>
      </w:r>
    </w:p>
    <w:p w:rsidR="004E5F79" w:rsidRDefault="004E5F79">
      <w:pPr>
        <w:pStyle w:val="PR2"/>
        <w:spacing w:before="240"/>
      </w:pPr>
      <w:r>
        <w:t xml:space="preserve">Actuator:  </w:t>
      </w:r>
      <w:r w:rsidRPr="00FB250A">
        <w:t>Pneumatic</w:t>
      </w:r>
      <w:r>
        <w:t xml:space="preserve"> modulating with spring return.</w:t>
      </w:r>
    </w:p>
    <w:p w:rsidR="004E5F79" w:rsidRDefault="004E5F79">
      <w:pPr>
        <w:pStyle w:val="PR1"/>
      </w:pPr>
      <w:r>
        <w:t xml:space="preserve">Steam Trap:  Inverted-bucket type, sized for a minimum of 3 times the maximum rated condensate flow of </w:t>
      </w:r>
      <w:r w:rsidRPr="00FB250A">
        <w:t xml:space="preserve">humidifier at </w:t>
      </w:r>
      <w:r w:rsidRPr="00FB250A">
        <w:rPr>
          <w:rStyle w:val="IP"/>
          <w:color w:val="auto"/>
        </w:rPr>
        <w:t>1/2-psig</w:t>
      </w:r>
      <w:r w:rsidRPr="00FB250A">
        <w:rPr>
          <w:rStyle w:val="SI"/>
          <w:color w:val="auto"/>
        </w:rPr>
        <w:t xml:space="preserve"> (3.4-kPa)</w:t>
      </w:r>
      <w:r w:rsidRPr="00FB250A">
        <w:t xml:space="preserve"> inlet pressure</w:t>
      </w:r>
      <w:r>
        <w:t>.</w:t>
      </w:r>
    </w:p>
    <w:p w:rsidR="004E5F79" w:rsidRDefault="004E5F79">
      <w:pPr>
        <w:pStyle w:val="PR1"/>
      </w:pPr>
      <w:r>
        <w:t>Accessories:</w:t>
      </w:r>
    </w:p>
    <w:p w:rsidR="00FB250A" w:rsidRDefault="00FB250A" w:rsidP="00FB250A">
      <w:pPr>
        <w:pStyle w:val="PR2"/>
        <w:numPr>
          <w:ilvl w:val="0"/>
          <w:numId w:val="0"/>
        </w:numPr>
        <w:ind w:left="1440"/>
      </w:pPr>
    </w:p>
    <w:p w:rsidR="004E5F79" w:rsidRDefault="004E5F79">
      <w:pPr>
        <w:pStyle w:val="PR2"/>
      </w:pPr>
      <w:proofErr w:type="spellStart"/>
      <w:r>
        <w:t>Aquastat</w:t>
      </w:r>
      <w:proofErr w:type="spellEnd"/>
      <w:r>
        <w:t xml:space="preserve"> mounted on steam condensate return piping to prevent cold operation of humidifier.</w:t>
      </w:r>
    </w:p>
    <w:p w:rsidR="004E5F79" w:rsidRDefault="004E5F79">
      <w:pPr>
        <w:pStyle w:val="PR2"/>
      </w:pPr>
      <w:r>
        <w:t>In-line strainer.</w:t>
      </w:r>
    </w:p>
    <w:p w:rsidR="004E5F79" w:rsidRDefault="004E5F79">
      <w:pPr>
        <w:pStyle w:val="PR2"/>
      </w:pPr>
      <w:r>
        <w:t xml:space="preserve">Airflow </w:t>
      </w:r>
      <w:proofErr w:type="gramStart"/>
      <w:r>
        <w:t>switch</w:t>
      </w:r>
      <w:proofErr w:type="gramEnd"/>
      <w:r>
        <w:t xml:space="preserve"> for preventing humidifier operation without airflow.</w:t>
      </w:r>
    </w:p>
    <w:p w:rsidR="004E5F79" w:rsidRDefault="004E5F79">
      <w:pPr>
        <w:pStyle w:val="PRT"/>
      </w:pPr>
      <w:r>
        <w:t>EXECUTION</w:t>
      </w:r>
    </w:p>
    <w:p w:rsidR="004E5F79" w:rsidRDefault="004E5F79">
      <w:pPr>
        <w:pStyle w:val="ART"/>
      </w:pPr>
      <w:r>
        <w:t>EXAMINATION</w:t>
      </w:r>
    </w:p>
    <w:p w:rsidR="004E5F79" w:rsidRDefault="004E5F79">
      <w:pPr>
        <w:pStyle w:val="PR1"/>
      </w:pPr>
      <w:r>
        <w:t>Examine ducts, air-handling units, and conditions for compliance with requirements for installation tolerances and other conditions affecting performance.</w:t>
      </w:r>
    </w:p>
    <w:p w:rsidR="004E5F79" w:rsidRDefault="004E5F79">
      <w:pPr>
        <w:pStyle w:val="PR1"/>
      </w:pPr>
      <w:r>
        <w:lastRenderedPageBreak/>
        <w:t>Examine roughing-in for piping systems to verify actual locations of piping connections before humidifier installation.</w:t>
      </w:r>
    </w:p>
    <w:p w:rsidR="004E5F79" w:rsidRDefault="004E5F79">
      <w:pPr>
        <w:pStyle w:val="PR1"/>
      </w:pPr>
      <w:r>
        <w:t>Proceed with installation only after unsatisfactory conditions have been corrected.</w:t>
      </w:r>
    </w:p>
    <w:p w:rsidR="004E5F79" w:rsidRDefault="004E5F79">
      <w:pPr>
        <w:pStyle w:val="ART"/>
      </w:pPr>
      <w:r>
        <w:t>INSTALLATION</w:t>
      </w:r>
    </w:p>
    <w:p w:rsidR="004E5F79" w:rsidRPr="007C1D87" w:rsidRDefault="004E5F79" w:rsidP="007C1D87">
      <w:pPr>
        <w:pStyle w:val="PRN"/>
      </w:pPr>
      <w:r w:rsidRPr="007C1D87">
        <w:t>LEED-NC Prerequisite EQ 1 requires compliance with requirements in ASHRAE 62.1-2004.  ASHRAE 62.1-2004, Section 5.13 - "Humidifiers and Water-Spray Systems," sets requirements for water quality feeding humidifiers and limits obstructions downstream from humidifiers.</w:t>
      </w:r>
    </w:p>
    <w:p w:rsidR="004E5F79" w:rsidRDefault="004E5F79">
      <w:pPr>
        <w:pStyle w:val="PR1"/>
      </w:pPr>
      <w:r>
        <w:t>Install humidifiers with required clearance for service and maintenance.</w:t>
      </w:r>
      <w:r w:rsidRPr="00FB250A">
        <w:t>  Maintain path, downstream from humidifiers, clear of obstructions as required by ASHRAE 62.1-2004.</w:t>
      </w:r>
    </w:p>
    <w:p w:rsidR="004E5F79" w:rsidRDefault="004E5F79">
      <w:pPr>
        <w:pStyle w:val="PR1"/>
      </w:pPr>
      <w:r>
        <w:t>Seal humidifier manifold duct or plenum penetrations with flange.</w:t>
      </w:r>
    </w:p>
    <w:p w:rsidR="004E5F79" w:rsidRDefault="004E5F79">
      <w:pPr>
        <w:pStyle w:val="PR1"/>
      </w:pPr>
      <w:r>
        <w:t>Install humidifier manifolds in metal ducts and casings constructed according to SMACNA's "HVAC Duct Construction Standards, Metal and Flexible."</w:t>
      </w:r>
    </w:p>
    <w:p w:rsidR="004E5F79" w:rsidRDefault="004E5F79">
      <w:pPr>
        <w:pStyle w:val="PR1"/>
      </w:pPr>
      <w:r>
        <w:t xml:space="preserve">Install </w:t>
      </w:r>
      <w:r w:rsidRPr="00E35329">
        <w:t>stainless</w:t>
      </w:r>
      <w:r>
        <w:t>-steel drain pan under each manifold mounted in duct.</w:t>
      </w:r>
    </w:p>
    <w:p w:rsidR="004E5F79" w:rsidRDefault="004E5F79">
      <w:pPr>
        <w:pStyle w:val="PR2"/>
        <w:spacing w:before="240"/>
      </w:pPr>
      <w:r>
        <w:t>Construct drain pans with connection for drain; insulated</w:t>
      </w:r>
      <w:r w:rsidRPr="00E35329">
        <w:t> and complying with ASHRAE 62.1-2004</w:t>
      </w:r>
      <w:r>
        <w:t>.</w:t>
      </w:r>
    </w:p>
    <w:p w:rsidR="004E5F79" w:rsidRDefault="004E5F79">
      <w:pPr>
        <w:pStyle w:val="PR2"/>
      </w:pPr>
      <w:r>
        <w:t>Connect to condensate trap and drainage piping.</w:t>
      </w:r>
    </w:p>
    <w:p w:rsidR="004E5F79" w:rsidRDefault="004E5F79">
      <w:pPr>
        <w:pStyle w:val="PR2"/>
      </w:pPr>
      <w:r>
        <w:t>Extend drain pan upstream and downstream from manifold a minimum distance recommended by manufacturer but not less than required by ASHRAE 62.1-2004.</w:t>
      </w:r>
    </w:p>
    <w:p w:rsidR="004E5F79" w:rsidRDefault="004E5F79">
      <w:pPr>
        <w:pStyle w:val="PR1"/>
      </w:pPr>
      <w:r>
        <w:t xml:space="preserve">Install drip leg upstream from steam trap a </w:t>
      </w:r>
      <w:r w:rsidRPr="00E35329">
        <w:t xml:space="preserve">minimum of </w:t>
      </w:r>
      <w:r w:rsidRPr="00E35329">
        <w:rPr>
          <w:rStyle w:val="IP"/>
          <w:color w:val="auto"/>
        </w:rPr>
        <w:t>12 inches</w:t>
      </w:r>
      <w:r w:rsidRPr="00E35329">
        <w:rPr>
          <w:rStyle w:val="SI"/>
          <w:color w:val="auto"/>
        </w:rPr>
        <w:t xml:space="preserve"> (300 mm)</w:t>
      </w:r>
      <w:r w:rsidRPr="00E35329">
        <w:t xml:space="preserve"> tall for</w:t>
      </w:r>
      <w:r>
        <w:t xml:space="preserve"> proper operation of trap.</w:t>
      </w:r>
    </w:p>
    <w:p w:rsidR="004E5F79" w:rsidRDefault="004E5F79">
      <w:pPr>
        <w:pStyle w:val="ART"/>
      </w:pPr>
      <w:r>
        <w:t>CONNECTIONS</w:t>
      </w:r>
    </w:p>
    <w:p w:rsidR="004E5F79" w:rsidRDefault="004E5F79">
      <w:pPr>
        <w:pStyle w:val="PR1"/>
      </w:pPr>
      <w:r>
        <w:t>Piping installation requirements are specified in other Division 23 Sections.  Drawings indicate general arrangement of piping, fittings, and specialties.</w:t>
      </w:r>
    </w:p>
    <w:p w:rsidR="004E5F79" w:rsidRDefault="004E5F79">
      <w:pPr>
        <w:pStyle w:val="PR2"/>
        <w:spacing w:before="240"/>
      </w:pPr>
      <w:r>
        <w:t>Install piping adjacent to humidifiers to allow service and maintenance.</w:t>
      </w:r>
    </w:p>
    <w:p w:rsidR="004E5F79" w:rsidRDefault="004E5F79">
      <w:pPr>
        <w:pStyle w:val="PR1"/>
      </w:pPr>
      <w:r>
        <w:t>Install electrical devices and piping specialties furnished by manufacturer but not factory mounted.</w:t>
      </w:r>
    </w:p>
    <w:p w:rsidR="004E5F79" w:rsidRDefault="004E5F79">
      <w:pPr>
        <w:pStyle w:val="ART"/>
      </w:pPr>
      <w:r>
        <w:t>FIELD QUALITY CONTROL</w:t>
      </w:r>
    </w:p>
    <w:p w:rsidR="004E5F79" w:rsidRDefault="004E5F79">
      <w:pPr>
        <w:pStyle w:val="PR1"/>
      </w:pPr>
      <w:r>
        <w:t>Perform tests and inspections and prepare test reports.</w:t>
      </w:r>
    </w:p>
    <w:p w:rsidR="004E5F79" w:rsidRDefault="004E5F79">
      <w:pPr>
        <w:pStyle w:val="PR2"/>
        <w:spacing w:before="240"/>
      </w:pPr>
      <w:r>
        <w:t>Manufacturer's Field Service:  Engage a factory-authorized service representative to inspect components, assemblies, and equipment installations, including connections, and to assist in testing.</w:t>
      </w:r>
    </w:p>
    <w:p w:rsidR="004E5F79" w:rsidRDefault="004E5F79">
      <w:pPr>
        <w:pStyle w:val="PR1"/>
      </w:pPr>
      <w:r>
        <w:lastRenderedPageBreak/>
        <w:t>Tests and Inspections:</w:t>
      </w:r>
    </w:p>
    <w:p w:rsidR="004E5F79" w:rsidRDefault="004E5F79">
      <w:pPr>
        <w:pStyle w:val="PR2"/>
        <w:spacing w:before="240"/>
      </w:pPr>
      <w:r>
        <w:t>Leak Test:  After installation, charge system and test for leaks.  Repair leaks and retest until no leaks exist.</w:t>
      </w:r>
    </w:p>
    <w:p w:rsidR="004E5F79" w:rsidRDefault="004E5F79">
      <w:pPr>
        <w:pStyle w:val="PR2"/>
      </w:pPr>
      <w:r>
        <w:t>Test and adjust controls and safeties.  Replace damaged and malfunctioning controls and equipment.</w:t>
      </w:r>
    </w:p>
    <w:p w:rsidR="004E5F79" w:rsidRDefault="004E5F79">
      <w:pPr>
        <w:pStyle w:val="PR1"/>
      </w:pPr>
      <w:r>
        <w:t>Remove and replace malfunctioning units and retest as specified above.</w:t>
      </w:r>
    </w:p>
    <w:p w:rsidR="004E5F79" w:rsidRDefault="004E5F79">
      <w:pPr>
        <w:pStyle w:val="ART"/>
      </w:pPr>
      <w:r>
        <w:t>DEMONSTRATION</w:t>
      </w:r>
    </w:p>
    <w:p w:rsidR="004E5F79" w:rsidRDefault="004E5F79">
      <w:pPr>
        <w:pStyle w:val="PR1"/>
      </w:pPr>
      <w:r>
        <w:t>Engage a factory-authorized service representative to train Owner's maintenance personnel to adjust, operate, and maintain humidifiers.  Refer to Division 01 Section "Demonstration and Training."</w:t>
      </w:r>
    </w:p>
    <w:p w:rsidR="004E5F79" w:rsidRDefault="004E5F79">
      <w:pPr>
        <w:pStyle w:val="EOS"/>
      </w:pPr>
      <w:r>
        <w:t>END OF SECTION 238413</w:t>
      </w:r>
    </w:p>
    <w:sectPr w:rsidR="004E5F79" w:rsidSect="00C17F0E">
      <w:headerReference w:type="default" r:id="rId7"/>
      <w:footerReference w:type="default" r:id="rId8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50A" w:rsidRDefault="00FB250A">
      <w:r>
        <w:separator/>
      </w:r>
    </w:p>
  </w:endnote>
  <w:endnote w:type="continuationSeparator" w:id="1">
    <w:p w:rsidR="00FB250A" w:rsidRDefault="00FB2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50A" w:rsidRDefault="00FB250A" w:rsidP="00FB250A">
    <w:pPr>
      <w:pStyle w:val="Footer"/>
    </w:pPr>
    <w:r>
      <w:t>238413</w:t>
    </w:r>
    <w:r w:rsidR="0083560E">
      <w:t>Humidifier</w:t>
    </w:r>
    <w:r w:rsidR="00100ACA">
      <w:t>s</w:t>
    </w:r>
    <w:r w:rsidR="0083560E">
      <w:t>.docx</w:t>
    </w:r>
  </w:p>
  <w:p w:rsidR="00FB250A" w:rsidRPr="00FB250A" w:rsidRDefault="00FB250A" w:rsidP="00FB250A">
    <w:pPr>
      <w:pStyle w:val="Footer"/>
    </w:pPr>
    <w:r>
      <w:t xml:space="preserve">Rev. </w:t>
    </w:r>
    <w:r w:rsidR="00100ACA">
      <w:t>0</w:t>
    </w:r>
    <w:r w:rsidR="0083560E">
      <w:t>1</w:t>
    </w:r>
    <w:r>
      <w:t>/</w:t>
    </w:r>
    <w:r w:rsidR="00100ACA">
      <w:t>01</w:t>
    </w:r>
    <w:r>
      <w:t>/200</w:t>
    </w:r>
    <w:r w:rsidR="00100ACA"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50A" w:rsidRDefault="00FB250A">
      <w:r>
        <w:separator/>
      </w:r>
    </w:p>
  </w:footnote>
  <w:footnote w:type="continuationSeparator" w:id="1">
    <w:p w:rsidR="00FB250A" w:rsidRDefault="00FB2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0E" w:rsidRPr="002773F6" w:rsidRDefault="0083560E" w:rsidP="0083560E">
    <w:pPr>
      <w:pStyle w:val="HD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4788"/>
    </w:tblGrid>
    <w:tr w:rsidR="0083560E" w:rsidTr="0083560E">
      <w:tc>
        <w:tcPr>
          <w:tcW w:w="4788" w:type="dxa"/>
        </w:tcPr>
        <w:p w:rsidR="0083560E" w:rsidRDefault="0083560E" w:rsidP="0083560E">
          <w:pPr>
            <w:pStyle w:val="HDR"/>
          </w:pPr>
          <w:r>
            <w:t>Michigan State University</w:t>
          </w:r>
        </w:p>
        <w:p w:rsidR="0083560E" w:rsidRDefault="0083560E" w:rsidP="0083560E">
          <w:pPr>
            <w:pStyle w:val="HDR"/>
          </w:pPr>
          <w:r>
            <w:t>Construction Standards</w:t>
          </w:r>
        </w:p>
      </w:tc>
      <w:tc>
        <w:tcPr>
          <w:tcW w:w="4788" w:type="dxa"/>
        </w:tcPr>
        <w:p w:rsidR="0083560E" w:rsidRDefault="0083560E" w:rsidP="0083560E">
          <w:pPr>
            <w:pStyle w:val="HDR"/>
            <w:jc w:val="right"/>
          </w:pPr>
          <w:r>
            <w:t>HUMIDIFIERS</w:t>
          </w:r>
        </w:p>
        <w:p w:rsidR="0083560E" w:rsidRDefault="0083560E" w:rsidP="0083560E">
          <w:pPr>
            <w:pStyle w:val="HDR"/>
            <w:jc w:val="right"/>
          </w:pPr>
          <w:r>
            <w:t>Page 238413-</w:t>
          </w:r>
          <w:fldSimple w:instr=" PAGE   \* MERGEFORMAT ">
            <w:r w:rsidR="001876F2">
              <w:rPr>
                <w:noProof/>
              </w:rPr>
              <w:t>4</w:t>
            </w:r>
          </w:fldSimple>
        </w:p>
      </w:tc>
    </w:tr>
  </w:tbl>
  <w:p w:rsidR="00FB250A" w:rsidRPr="002773F6" w:rsidRDefault="00FB250A" w:rsidP="0083560E">
    <w:pPr>
      <w:pStyle w:val="HDR"/>
    </w:pPr>
  </w:p>
  <w:p w:rsidR="00FB250A" w:rsidRPr="00FB250A" w:rsidRDefault="00FB250A" w:rsidP="00FB25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0"/>
    <w:footnote w:id="1"/>
  </w:footnotePr>
  <w:endnotePr>
    <w:pos w:val="sectEnd"/>
    <w:numFmt w:val="decimal"/>
    <w:endnote w:id="0"/>
    <w:endnote w:id="1"/>
  </w:endnotePr>
  <w:compat/>
  <w:rsids>
    <w:rsidRoot w:val="004E5F79"/>
    <w:rsid w:val="00100ACA"/>
    <w:rsid w:val="001876F2"/>
    <w:rsid w:val="00225E4E"/>
    <w:rsid w:val="00274897"/>
    <w:rsid w:val="0039111B"/>
    <w:rsid w:val="00455D1C"/>
    <w:rsid w:val="004E5F79"/>
    <w:rsid w:val="0057050D"/>
    <w:rsid w:val="007C1D87"/>
    <w:rsid w:val="00821B74"/>
    <w:rsid w:val="0083560E"/>
    <w:rsid w:val="00A71EE9"/>
    <w:rsid w:val="00B11874"/>
    <w:rsid w:val="00C17F0E"/>
    <w:rsid w:val="00E35329"/>
    <w:rsid w:val="00EF17E9"/>
    <w:rsid w:val="00FB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F0E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C17F0E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C17F0E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C17F0E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C17F0E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C17F0E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C17F0E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C17F0E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C17F0E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C17F0E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C17F0E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C17F0E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C17F0E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C17F0E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C17F0E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C17F0E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C17F0E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C17F0E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C17F0E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C17F0E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C17F0E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C17F0E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C17F0E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C17F0E"/>
    <w:pPr>
      <w:suppressAutoHyphens/>
    </w:pPr>
  </w:style>
  <w:style w:type="paragraph" w:customStyle="1" w:styleId="TCE">
    <w:name w:val="TCE"/>
    <w:basedOn w:val="Normal"/>
    <w:rsid w:val="00C17F0E"/>
    <w:pPr>
      <w:suppressAutoHyphens/>
      <w:ind w:left="144" w:hanging="144"/>
    </w:pPr>
  </w:style>
  <w:style w:type="paragraph" w:customStyle="1" w:styleId="EOS">
    <w:name w:val="EOS"/>
    <w:basedOn w:val="Normal"/>
    <w:rsid w:val="00C17F0E"/>
    <w:pPr>
      <w:suppressAutoHyphens/>
      <w:spacing w:before="480"/>
      <w:jc w:val="both"/>
    </w:pPr>
  </w:style>
  <w:style w:type="paragraph" w:customStyle="1" w:styleId="ANT">
    <w:name w:val="ANT"/>
    <w:basedOn w:val="Normal"/>
    <w:rsid w:val="00C17F0E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rsid w:val="00C17F0E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C17F0E"/>
  </w:style>
  <w:style w:type="character" w:customStyle="1" w:styleId="SPN">
    <w:name w:val="SPN"/>
    <w:basedOn w:val="DefaultParagraphFont"/>
    <w:rsid w:val="00C17F0E"/>
  </w:style>
  <w:style w:type="character" w:customStyle="1" w:styleId="SPD">
    <w:name w:val="SPD"/>
    <w:basedOn w:val="DefaultParagraphFont"/>
    <w:rsid w:val="00C17F0E"/>
  </w:style>
  <w:style w:type="character" w:customStyle="1" w:styleId="NUM">
    <w:name w:val="NUM"/>
    <w:basedOn w:val="DefaultParagraphFont"/>
    <w:rsid w:val="00C17F0E"/>
  </w:style>
  <w:style w:type="character" w:customStyle="1" w:styleId="NAM">
    <w:name w:val="NAM"/>
    <w:basedOn w:val="DefaultParagraphFont"/>
    <w:rsid w:val="00C17F0E"/>
  </w:style>
  <w:style w:type="character" w:customStyle="1" w:styleId="SI">
    <w:name w:val="SI"/>
    <w:basedOn w:val="DefaultParagraphFont"/>
    <w:rsid w:val="00C17F0E"/>
    <w:rPr>
      <w:color w:val="008080"/>
    </w:rPr>
  </w:style>
  <w:style w:type="character" w:customStyle="1" w:styleId="IP">
    <w:name w:val="IP"/>
    <w:basedOn w:val="DefaultParagraphFont"/>
    <w:rsid w:val="00C17F0E"/>
    <w:rPr>
      <w:color w:val="FF0000"/>
    </w:rPr>
  </w:style>
  <w:style w:type="paragraph" w:styleId="Header">
    <w:name w:val="header"/>
    <w:basedOn w:val="Normal"/>
    <w:link w:val="HeaderChar"/>
    <w:rsid w:val="00FB2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250A"/>
    <w:rPr>
      <w:sz w:val="22"/>
    </w:rPr>
  </w:style>
  <w:style w:type="paragraph" w:styleId="Footer">
    <w:name w:val="footer"/>
    <w:basedOn w:val="Normal"/>
    <w:link w:val="FooterChar"/>
    <w:rsid w:val="00FB2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B250A"/>
    <w:rPr>
      <w:sz w:val="22"/>
    </w:rPr>
  </w:style>
  <w:style w:type="character" w:styleId="PageNumber">
    <w:name w:val="page number"/>
    <w:basedOn w:val="DefaultParagraphFont"/>
    <w:rsid w:val="00FB250A"/>
  </w:style>
  <w:style w:type="table" w:styleId="TableGrid">
    <w:name w:val="Table Grid"/>
    <w:basedOn w:val="TableNormal"/>
    <w:rsid w:val="008356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N">
    <w:name w:val="PRN"/>
    <w:basedOn w:val="Normal"/>
    <w:link w:val="PRNChar"/>
    <w:autoRedefine/>
    <w:rsid w:val="00A71EE9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CMTChar">
    <w:name w:val="CMT Char"/>
    <w:basedOn w:val="DefaultParagraphFont"/>
    <w:link w:val="CMT"/>
    <w:rsid w:val="00A71EE9"/>
    <w:rPr>
      <w:vanish/>
      <w:color w:val="0000FF"/>
      <w:sz w:val="22"/>
    </w:rPr>
  </w:style>
  <w:style w:type="character" w:customStyle="1" w:styleId="PRNChar">
    <w:name w:val="PRN Char"/>
    <w:basedOn w:val="CMTChar"/>
    <w:link w:val="PRN"/>
    <w:rsid w:val="00A71EE9"/>
    <w:rPr>
      <w:shd w:val="pct20" w:color="FFFF00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724</Words>
  <Characters>4519</Characters>
  <Application>Microsoft Office Word</Application>
  <DocSecurity>0</DocSecurity>
  <Lines>97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238413 - HUMIDIFIERS</vt:lpstr>
    </vt:vector>
  </TitlesOfParts>
  <Company> 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HUMIDIFIERS</dc:subject>
  <dc:creator>ARCOM, Inc.</dc:creator>
  <cp:keywords>BAS-12345-MS80</cp:keywords>
  <cp:lastModifiedBy>kschroeder</cp:lastModifiedBy>
  <cp:revision>4</cp:revision>
  <cp:lastPrinted>2008-11-19T19:39:00Z</cp:lastPrinted>
  <dcterms:created xsi:type="dcterms:W3CDTF">2008-12-20T16:12:00Z</dcterms:created>
  <dcterms:modified xsi:type="dcterms:W3CDTF">2009-03-01T23:59:00Z</dcterms:modified>
</cp:coreProperties>
</file>