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08" w:rsidRDefault="00871B08">
      <w:pPr>
        <w:pStyle w:val="SCT"/>
      </w:pPr>
      <w:r>
        <w:t xml:space="preserve">SECTION </w:t>
      </w:r>
      <w:r>
        <w:rPr>
          <w:rStyle w:val="NUM"/>
        </w:rPr>
        <w:t>26</w:t>
      </w:r>
      <w:r w:rsidR="0091017F">
        <w:rPr>
          <w:rStyle w:val="NUM"/>
        </w:rPr>
        <w:t>511</w:t>
      </w:r>
      <w:r w:rsidR="006679AE">
        <w:rPr>
          <w:rStyle w:val="NUM"/>
        </w:rPr>
        <w:t>3</w:t>
      </w:r>
      <w:r>
        <w:t xml:space="preserve"> </w:t>
      </w:r>
      <w:r w:rsidR="00CD65F7">
        <w:t>–</w:t>
      </w:r>
      <w:r>
        <w:t xml:space="preserve"> </w:t>
      </w:r>
      <w:r w:rsidR="006679AE">
        <w:t>L</w:t>
      </w:r>
      <w:r w:rsidR="0091017F">
        <w:t>AMPS AND BALLAST</w:t>
      </w:r>
      <w:r w:rsidR="006679AE">
        <w:t>S</w:t>
      </w:r>
    </w:p>
    <w:p w:rsidR="00871B08" w:rsidRDefault="00871B08">
      <w:pPr>
        <w:pStyle w:val="PRT"/>
      </w:pPr>
      <w:r>
        <w:t>GENERAL</w:t>
      </w:r>
    </w:p>
    <w:p w:rsidR="00871B08" w:rsidRDefault="00871B08">
      <w:pPr>
        <w:pStyle w:val="ART"/>
      </w:pPr>
      <w:r>
        <w:t>RELATED DOCUMENTS</w:t>
      </w:r>
    </w:p>
    <w:p w:rsidR="00871B08" w:rsidRDefault="00871B08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871B08" w:rsidRDefault="00871B08">
      <w:pPr>
        <w:pStyle w:val="ART"/>
      </w:pPr>
      <w:r>
        <w:t>SUMMARY</w:t>
      </w:r>
    </w:p>
    <w:p w:rsidR="00871B08" w:rsidRDefault="00871B08">
      <w:pPr>
        <w:pStyle w:val="PR1"/>
      </w:pPr>
      <w:r>
        <w:t>This Section includes the following:</w:t>
      </w:r>
    </w:p>
    <w:p w:rsidR="00871B08" w:rsidRDefault="00F64A5A" w:rsidP="00D50B48">
      <w:pPr>
        <w:pStyle w:val="PR2"/>
        <w:spacing w:before="240"/>
      </w:pPr>
      <w:r>
        <w:rPr>
          <w:szCs w:val="22"/>
        </w:rPr>
        <w:t xml:space="preserve">This Section specifies the </w:t>
      </w:r>
      <w:r w:rsidR="00A02EA1">
        <w:t>lamps and ballasts for light fixtures</w:t>
      </w:r>
      <w:r w:rsidR="00FD6984">
        <w:rPr>
          <w:szCs w:val="22"/>
        </w:rPr>
        <w:t xml:space="preserve"> </w:t>
      </w:r>
      <w:r>
        <w:rPr>
          <w:szCs w:val="22"/>
        </w:rPr>
        <w:t>for buildings and structures</w:t>
      </w:r>
      <w:r w:rsidR="00871B08">
        <w:t>.</w:t>
      </w:r>
    </w:p>
    <w:p w:rsidR="00D50B48" w:rsidRDefault="00D50B48" w:rsidP="00D50B48">
      <w:pPr>
        <w:pStyle w:val="PR2"/>
        <w:spacing w:before="240"/>
      </w:pPr>
      <w:r>
        <w:t>Provide all labor, materials, and equipment as necessary to complete all work as indicated on the drawings, and as specified herein.</w:t>
      </w:r>
    </w:p>
    <w:p w:rsidR="00871B08" w:rsidRDefault="00871B08">
      <w:pPr>
        <w:pStyle w:val="PR1"/>
      </w:pPr>
      <w:r>
        <w:t>Related Sections include the following:</w:t>
      </w:r>
    </w:p>
    <w:p w:rsidR="00E62245" w:rsidRPr="005562F6" w:rsidRDefault="00E62245">
      <w:pPr>
        <w:pStyle w:val="PR2"/>
        <w:spacing w:before="240"/>
      </w:pPr>
      <w:r>
        <w:rPr>
          <w:szCs w:val="22"/>
        </w:rPr>
        <w:t xml:space="preserve">Applicable sections of Division 26 </w:t>
      </w:r>
      <w:r w:rsidR="005562F6">
        <w:rPr>
          <w:szCs w:val="22"/>
        </w:rPr>
        <w:t>–</w:t>
      </w:r>
      <w:r>
        <w:rPr>
          <w:szCs w:val="22"/>
        </w:rPr>
        <w:t xml:space="preserve"> Electrical</w:t>
      </w:r>
    </w:p>
    <w:p w:rsidR="00871B08" w:rsidRDefault="00871B08">
      <w:pPr>
        <w:pStyle w:val="ART"/>
      </w:pPr>
      <w:r>
        <w:t>SUBMITTALS</w:t>
      </w:r>
    </w:p>
    <w:p w:rsidR="00871B08" w:rsidRDefault="00E62245">
      <w:pPr>
        <w:pStyle w:val="PR1"/>
      </w:pPr>
      <w:r>
        <w:t>Shop Drawings</w:t>
      </w:r>
      <w:r w:rsidR="00871B08">
        <w:t>:</w:t>
      </w:r>
    </w:p>
    <w:p w:rsidR="00871B08" w:rsidRDefault="00A02EA1">
      <w:pPr>
        <w:pStyle w:val="PR2"/>
        <w:spacing w:before="240"/>
      </w:pPr>
      <w:r>
        <w:t>Lamps</w:t>
      </w:r>
    </w:p>
    <w:p w:rsidR="00E4135B" w:rsidRDefault="00A02EA1" w:rsidP="00E4135B">
      <w:pPr>
        <w:pStyle w:val="PR2"/>
      </w:pPr>
      <w:r>
        <w:t>Ballasts</w:t>
      </w:r>
    </w:p>
    <w:p w:rsidR="00871B08" w:rsidRDefault="00871B08">
      <w:pPr>
        <w:pStyle w:val="PRT"/>
      </w:pPr>
      <w:r>
        <w:t>PRODUCTS</w:t>
      </w:r>
    </w:p>
    <w:p w:rsidR="00871B08" w:rsidRDefault="00CF3153">
      <w:pPr>
        <w:pStyle w:val="ART"/>
      </w:pPr>
      <w:r>
        <w:t>LAMP</w:t>
      </w:r>
      <w:r w:rsidR="00910FAA">
        <w:t>S</w:t>
      </w:r>
    </w:p>
    <w:p w:rsidR="008D1627" w:rsidRDefault="008D1627" w:rsidP="008D1627">
      <w:pPr>
        <w:pStyle w:val="BodyTextIndent"/>
      </w:pPr>
    </w:p>
    <w:p w:rsidR="008D1627" w:rsidRPr="008D1627" w:rsidRDefault="00CF3153" w:rsidP="00375645">
      <w:pPr>
        <w:pStyle w:val="PRN"/>
      </w:pPr>
      <w:r>
        <w:t>Select only those lamps that are applicable to the project. Only use T8 lamps and electronic ballasts in new buildings or in a room(s) when all the fixtures are being changed to new fixtures</w:t>
      </w:r>
      <w:r w:rsidR="008D1627" w:rsidRPr="008D1627">
        <w:t>.</w:t>
      </w:r>
    </w:p>
    <w:p w:rsidR="00AB4769" w:rsidRDefault="00CF3153" w:rsidP="00AB4769">
      <w:pPr>
        <w:pStyle w:val="PR1"/>
      </w:pPr>
      <w:r>
        <w:t>Fluorescent Lamps</w:t>
      </w:r>
    </w:p>
    <w:p w:rsidR="00CF3153" w:rsidRPr="00CF3153" w:rsidRDefault="00CF3153" w:rsidP="00CF3153">
      <w:pPr>
        <w:pStyle w:val="PR2"/>
        <w:spacing w:before="240"/>
      </w:pPr>
      <w:r>
        <w:rPr>
          <w:szCs w:val="22"/>
        </w:rPr>
        <w:t>Fluorescent lamps shall be low mercury type Environmental Protection Agency TCLP (Toxic Characteristic Leaching Procedure) compliant.</w:t>
      </w:r>
    </w:p>
    <w:p w:rsidR="00CF3153" w:rsidRPr="00CF3153" w:rsidRDefault="00CF3153" w:rsidP="00CF3153">
      <w:pPr>
        <w:pStyle w:val="PR2"/>
        <w:spacing w:before="240"/>
      </w:pPr>
      <w:r>
        <w:lastRenderedPageBreak/>
        <w:t>F</w:t>
      </w:r>
      <w:r>
        <w:rPr>
          <w:szCs w:val="22"/>
        </w:rPr>
        <w:t>luorescent lamps, unless otherwise indicated, shall be F32, 32 watt, rap</w:t>
      </w:r>
      <w:r w:rsidR="002F1EC6">
        <w:rPr>
          <w:szCs w:val="22"/>
        </w:rPr>
        <w:t>id start T8, 4100 degree Kelvin.</w:t>
      </w:r>
    </w:p>
    <w:p w:rsidR="00CF3153" w:rsidRPr="00CF3153" w:rsidRDefault="00CF3153" w:rsidP="00CF3153">
      <w:pPr>
        <w:pStyle w:val="PR3"/>
        <w:spacing w:before="240"/>
      </w:pPr>
      <w:r>
        <w:rPr>
          <w:szCs w:val="22"/>
        </w:rPr>
        <w:t>GE F32T8/</w:t>
      </w:r>
      <w:r w:rsidR="00D54A48">
        <w:rPr>
          <w:szCs w:val="22"/>
        </w:rPr>
        <w:t>XL/</w:t>
      </w:r>
      <w:r>
        <w:rPr>
          <w:szCs w:val="22"/>
        </w:rPr>
        <w:t>SP</w:t>
      </w:r>
      <w:r w:rsidR="00D54A48">
        <w:rPr>
          <w:szCs w:val="22"/>
        </w:rPr>
        <w:t>X</w:t>
      </w:r>
      <w:r>
        <w:rPr>
          <w:szCs w:val="22"/>
        </w:rPr>
        <w:t>41/</w:t>
      </w:r>
      <w:r w:rsidR="00D54A48">
        <w:rPr>
          <w:szCs w:val="22"/>
        </w:rPr>
        <w:t>HL/</w:t>
      </w:r>
      <w:r>
        <w:rPr>
          <w:szCs w:val="22"/>
        </w:rPr>
        <w:t>ECO</w:t>
      </w:r>
    </w:p>
    <w:p w:rsidR="00CF3153" w:rsidRPr="00CF3153" w:rsidRDefault="006E2F3B" w:rsidP="00CF3153">
      <w:pPr>
        <w:pStyle w:val="PR3"/>
      </w:pPr>
      <w:r>
        <w:rPr>
          <w:szCs w:val="22"/>
        </w:rPr>
        <w:t>Osram/Sylvania FO32/8</w:t>
      </w:r>
      <w:r w:rsidR="00CF3153">
        <w:rPr>
          <w:szCs w:val="22"/>
        </w:rPr>
        <w:t>41/</w:t>
      </w:r>
      <w:r w:rsidR="00D54A48">
        <w:rPr>
          <w:szCs w:val="22"/>
        </w:rPr>
        <w:t>XPS/</w:t>
      </w:r>
      <w:r w:rsidR="00CF3153">
        <w:rPr>
          <w:szCs w:val="22"/>
        </w:rPr>
        <w:t>ECO</w:t>
      </w:r>
    </w:p>
    <w:p w:rsidR="00CF3153" w:rsidRPr="00CF3153" w:rsidRDefault="006E2F3B" w:rsidP="00CF3153">
      <w:pPr>
        <w:pStyle w:val="PR3"/>
      </w:pPr>
      <w:r>
        <w:rPr>
          <w:szCs w:val="22"/>
        </w:rPr>
        <w:t>Philips F32T8/</w:t>
      </w:r>
      <w:r w:rsidR="00D54A48">
        <w:rPr>
          <w:szCs w:val="22"/>
        </w:rPr>
        <w:t>ADV841</w:t>
      </w:r>
      <w:r w:rsidR="00CF3153">
        <w:rPr>
          <w:szCs w:val="22"/>
        </w:rPr>
        <w:t>/ALTO</w:t>
      </w:r>
    </w:p>
    <w:p w:rsidR="00CF3153" w:rsidRPr="00884902" w:rsidRDefault="00CF3153" w:rsidP="00CF3153">
      <w:pPr>
        <w:pStyle w:val="PR2"/>
        <w:spacing w:before="240"/>
      </w:pPr>
      <w:r>
        <w:rPr>
          <w:szCs w:val="22"/>
        </w:rPr>
        <w:t>Fluorescent lamps, unless otherwise indicated, shall be F40, 34 watt, rapid start T-12 cool white.  Fluorescent lamps shall be General Electric Ecolux, Osram Sylvania Ecologic, or Philips Alto.</w:t>
      </w:r>
    </w:p>
    <w:p w:rsidR="00871B08" w:rsidRDefault="00CF3153" w:rsidP="000A73DB">
      <w:pPr>
        <w:pStyle w:val="ART"/>
      </w:pPr>
      <w:r>
        <w:t>HID LAMP</w:t>
      </w:r>
      <w:r w:rsidR="00A858B6">
        <w:t>S</w:t>
      </w:r>
    </w:p>
    <w:p w:rsidR="000A072F" w:rsidRPr="00CF3153" w:rsidRDefault="00CF3153" w:rsidP="00F84F51">
      <w:pPr>
        <w:pStyle w:val="PR1"/>
      </w:pPr>
      <w:r>
        <w:rPr>
          <w:szCs w:val="22"/>
        </w:rPr>
        <w:t xml:space="preserve">100 Watt high pressure sodium lamps for 25 foot street light luminaires shall be General Electric Company catalog no. LU100/MED, or equal Philips or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Sylvania</w:t>
          </w:r>
        </w:smartTag>
      </w:smartTag>
      <w:r w:rsidR="000A072F">
        <w:rPr>
          <w:szCs w:val="22"/>
        </w:rPr>
        <w:t>.</w:t>
      </w:r>
    </w:p>
    <w:p w:rsidR="00CF3153" w:rsidRPr="00CF3153" w:rsidRDefault="00CF3153" w:rsidP="00F84F51">
      <w:pPr>
        <w:pStyle w:val="PR1"/>
      </w:pPr>
      <w:r>
        <w:rPr>
          <w:szCs w:val="22"/>
        </w:rPr>
        <w:t xml:space="preserve">150 Watt high pressure sodium lamps for 25 foot street light luminaires shall be General Electric Company catalog no. LU150/55, or equal Philips or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Sylvania</w:t>
          </w:r>
        </w:smartTag>
      </w:smartTag>
      <w:r>
        <w:rPr>
          <w:szCs w:val="22"/>
        </w:rPr>
        <w:t>.</w:t>
      </w:r>
    </w:p>
    <w:p w:rsidR="00CF3153" w:rsidRPr="00CF3153" w:rsidRDefault="00CF3153" w:rsidP="00F84F51">
      <w:pPr>
        <w:pStyle w:val="PR1"/>
      </w:pPr>
      <w:r>
        <w:rPr>
          <w:szCs w:val="22"/>
        </w:rPr>
        <w:t xml:space="preserve">250 Watt high pressure sodium lamps for 25 foot street light luminaires shall be General Electric Company catalog no. LU250, or equal Philips or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Sylvania</w:t>
          </w:r>
        </w:smartTag>
      </w:smartTag>
      <w:r>
        <w:rPr>
          <w:szCs w:val="22"/>
        </w:rPr>
        <w:t>.</w:t>
      </w:r>
    </w:p>
    <w:p w:rsidR="00CF3153" w:rsidRDefault="00CF3153" w:rsidP="00F84F51">
      <w:pPr>
        <w:pStyle w:val="PR1"/>
      </w:pPr>
      <w:r>
        <w:t xml:space="preserve">100 Watt mercury vapor lamps for bollard lights shall be General Electric Company Bonus Line catalog no. H100DX38-4 or equal Philips or </w:t>
      </w:r>
      <w:smartTag w:uri="urn:schemas-microsoft-com:office:smarttags" w:element="City">
        <w:smartTag w:uri="urn:schemas-microsoft-com:office:smarttags" w:element="place">
          <w:r>
            <w:t>Sylvania</w:t>
          </w:r>
        </w:smartTag>
      </w:smartTag>
      <w:r>
        <w:t>.</w:t>
      </w:r>
    </w:p>
    <w:p w:rsidR="00CF3153" w:rsidRPr="00CF3153" w:rsidRDefault="00CF3153" w:rsidP="00F84F51">
      <w:pPr>
        <w:pStyle w:val="PR1"/>
      </w:pPr>
      <w:r>
        <w:rPr>
          <w:szCs w:val="22"/>
        </w:rPr>
        <w:t xml:space="preserve">175 Watt mercury vapor lamps for 25 foot street light luminaires, mushroom walk and parking lights and concourse lights shall be General Electric Company BonusLline catalog no. H175DX39-22 or equal Philips or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Sylvania</w:t>
          </w:r>
        </w:smartTag>
      </w:smartTag>
      <w:r>
        <w:rPr>
          <w:szCs w:val="22"/>
        </w:rPr>
        <w:t>.</w:t>
      </w:r>
    </w:p>
    <w:p w:rsidR="00CF3153" w:rsidRPr="00CF3153" w:rsidRDefault="00CF3153" w:rsidP="00F84F51">
      <w:pPr>
        <w:pStyle w:val="PR1"/>
      </w:pPr>
      <w:r>
        <w:rPr>
          <w:szCs w:val="22"/>
        </w:rPr>
        <w:t xml:space="preserve">250 Watt mercury vapor lamps for 25 foot street light luminaires shall be General Electric Company Bonus Line catalog no. H250DX37-5 or equal Philips or </w:t>
      </w:r>
      <w:smartTag w:uri="urn:schemas-microsoft-com:office:smarttags" w:element="City">
        <w:smartTag w:uri="urn:schemas-microsoft-com:office:smarttags" w:element="place">
          <w:r>
            <w:rPr>
              <w:szCs w:val="22"/>
            </w:rPr>
            <w:t>Sylvania</w:t>
          </w:r>
        </w:smartTag>
      </w:smartTag>
      <w:r>
        <w:rPr>
          <w:szCs w:val="22"/>
        </w:rPr>
        <w:t>.</w:t>
      </w:r>
    </w:p>
    <w:p w:rsidR="00CF3153" w:rsidRDefault="00CF3153" w:rsidP="00CF3153">
      <w:pPr>
        <w:pStyle w:val="ART"/>
      </w:pPr>
      <w:r>
        <w:t>INCANDESCENT LAMPS</w:t>
      </w:r>
    </w:p>
    <w:p w:rsidR="00CF3153" w:rsidRPr="00CF3153" w:rsidRDefault="00CF3153" w:rsidP="00CF3153">
      <w:pPr>
        <w:pStyle w:val="PR1"/>
      </w:pPr>
      <w:r>
        <w:rPr>
          <w:szCs w:val="22"/>
        </w:rPr>
        <w:t>Incandescent lamps shall be 125 Volts, inside frosted, size as indicated.</w:t>
      </w:r>
    </w:p>
    <w:p w:rsidR="00871B08" w:rsidRDefault="00CF3153">
      <w:pPr>
        <w:pStyle w:val="ART"/>
      </w:pPr>
      <w:r>
        <w:t>BALLAST</w:t>
      </w:r>
      <w:r w:rsidR="008D1627">
        <w:t>S</w:t>
      </w:r>
    </w:p>
    <w:p w:rsidR="00CF3153" w:rsidRDefault="00CF3153" w:rsidP="00CF3153">
      <w:pPr>
        <w:pStyle w:val="BodyTextIndent"/>
      </w:pPr>
    </w:p>
    <w:p w:rsidR="00CF3153" w:rsidRDefault="00CF3153" w:rsidP="00375645">
      <w:pPr>
        <w:pStyle w:val="PRN"/>
      </w:pPr>
      <w:r>
        <w:t>Select only the ballasts that are applicable to the project.</w:t>
      </w:r>
    </w:p>
    <w:p w:rsidR="00CF3153" w:rsidRPr="00CF3153" w:rsidRDefault="00CF3153" w:rsidP="00375645">
      <w:pPr>
        <w:pStyle w:val="PRN"/>
      </w:pPr>
      <w:r>
        <w:t>Fluorescent fixtures.</w:t>
      </w:r>
    </w:p>
    <w:p w:rsidR="00767A94" w:rsidRDefault="00CF3153" w:rsidP="000A072F">
      <w:pPr>
        <w:pStyle w:val="PR1"/>
      </w:pPr>
      <w:r>
        <w:t>Electronic ballasts for fluorescent lamps shall be instant start, high efficiency, high power factor, parallel wired lamps, internally protected, ETL certified, UL labeled, Class P with "A" sound rating, ANSI Standard C82.11 compliant; withstand line transients as defined in ANSI/IEEE C62.41, Catagory A; comply with FCC Rules and Regulations CFR Title 47, Part 18, Subpart C.</w:t>
      </w:r>
    </w:p>
    <w:p w:rsidR="00CF3153" w:rsidRDefault="00CF3153" w:rsidP="00CF3153">
      <w:pPr>
        <w:pStyle w:val="PR2"/>
        <w:spacing w:before="240"/>
      </w:pPr>
      <w:r>
        <w:lastRenderedPageBreak/>
        <w:t>Operating at 20kHz or higher with no detectable lamp flicker,</w:t>
      </w:r>
    </w:p>
    <w:p w:rsidR="00CF3153" w:rsidRDefault="00CF3153" w:rsidP="00CF3153">
      <w:pPr>
        <w:pStyle w:val="PR2"/>
      </w:pPr>
      <w:r>
        <w:t>Crest Factor of 1.7 or less,</w:t>
      </w:r>
    </w:p>
    <w:p w:rsidR="00CF3153" w:rsidRDefault="00CF3153" w:rsidP="00CF3153">
      <w:pPr>
        <w:pStyle w:val="PR2"/>
      </w:pPr>
      <w:r>
        <w:t>Total harmonic distortion at 10% or less,</w:t>
      </w:r>
    </w:p>
    <w:p w:rsidR="00CF3153" w:rsidRDefault="00CF3153" w:rsidP="00CF3153">
      <w:pPr>
        <w:pStyle w:val="PR2"/>
      </w:pPr>
      <w:r>
        <w:t>Power Factor of 98% or higher,</w:t>
      </w:r>
    </w:p>
    <w:p w:rsidR="00CF3153" w:rsidRDefault="009B0BDD" w:rsidP="00CF3153">
      <w:pPr>
        <w:pStyle w:val="PR2"/>
      </w:pPr>
      <w:r>
        <w:t>Normal Ballast factor of .approx 0.86.</w:t>
      </w:r>
    </w:p>
    <w:p w:rsidR="00807380" w:rsidRDefault="00CF3153" w:rsidP="00807380">
      <w:pPr>
        <w:pStyle w:val="PR1"/>
      </w:pPr>
      <w:r>
        <w:t>Ballasts shall either be single voltage or multi-voltage.</w:t>
      </w:r>
    </w:p>
    <w:p w:rsidR="00CF3153" w:rsidRDefault="00CF3153" w:rsidP="00807380">
      <w:pPr>
        <w:pStyle w:val="PR1"/>
      </w:pPr>
      <w:r>
        <w:rPr>
          <w:szCs w:val="22"/>
        </w:rPr>
        <w:t>Approved ballasts are:</w:t>
      </w:r>
    </w:p>
    <w:p w:rsidR="00807380" w:rsidRPr="00CF3153" w:rsidRDefault="00D30274" w:rsidP="00807380">
      <w:pPr>
        <w:pStyle w:val="PR2"/>
        <w:spacing w:before="240"/>
      </w:pPr>
      <w:r>
        <w:rPr>
          <w:szCs w:val="22"/>
        </w:rPr>
        <w:t>Advance Optanium I</w:t>
      </w:r>
      <w:r w:rsidR="00CF3153">
        <w:rPr>
          <w:szCs w:val="22"/>
        </w:rPr>
        <w:t>OP series</w:t>
      </w:r>
      <w:r>
        <w:rPr>
          <w:szCs w:val="22"/>
        </w:rPr>
        <w:t>, cat no. IOPA2P32N35M</w:t>
      </w:r>
    </w:p>
    <w:p w:rsidR="00CF3153" w:rsidRDefault="00CF3153" w:rsidP="00CF3153">
      <w:pPr>
        <w:pStyle w:val="PR2"/>
      </w:pPr>
      <w:r>
        <w:rPr>
          <w:szCs w:val="22"/>
        </w:rPr>
        <w:t xml:space="preserve">General Electric </w:t>
      </w:r>
      <w:r>
        <w:t>GE-MAX-N/Ultra series</w:t>
      </w:r>
      <w:r w:rsidR="00D30274">
        <w:t>, cat no. GE232MAXPNULTRA</w:t>
      </w:r>
    </w:p>
    <w:p w:rsidR="00CF3153" w:rsidRDefault="00CF3153" w:rsidP="00CF3153">
      <w:pPr>
        <w:pStyle w:val="PR2"/>
      </w:pPr>
      <w:r>
        <w:rPr>
          <w:szCs w:val="22"/>
        </w:rPr>
        <w:t xml:space="preserve">Universal Lighting Technologies </w:t>
      </w:r>
      <w:r>
        <w:t>HE B232I series</w:t>
      </w:r>
      <w:r w:rsidR="00D30274">
        <w:t>, cat no. B232IUNVHEN0001</w:t>
      </w:r>
    </w:p>
    <w:p w:rsidR="00807380" w:rsidRPr="00CF3153" w:rsidRDefault="00CF3153" w:rsidP="00807380">
      <w:pPr>
        <w:pStyle w:val="PR1"/>
      </w:pPr>
      <w:r>
        <w:rPr>
          <w:szCs w:val="22"/>
        </w:rPr>
        <w:t>Dimming electronic ballasts for use with wall box dimmers shall be Advance Mark X.</w:t>
      </w:r>
    </w:p>
    <w:p w:rsidR="00CF3153" w:rsidRDefault="00CF3153" w:rsidP="00807380">
      <w:pPr>
        <w:pStyle w:val="PR1"/>
      </w:pPr>
      <w:r>
        <w:rPr>
          <w:szCs w:val="22"/>
        </w:rPr>
        <w:t>Electromagnetic ballast for fluorescent lamps shall be rapid start, high power factor, ETL, CBM certified, Type P with "A" sound rating, internally protected, with thermal cut-out plus fusing, such as General Electric Watt-Miser, or equal Jefferson, Advance, or Magnetic/Universal.</w:t>
      </w:r>
    </w:p>
    <w:p w:rsidR="005E21FE" w:rsidRDefault="005E21FE" w:rsidP="005E21FE">
      <w:pPr>
        <w:pStyle w:val="BodyTextIndent"/>
      </w:pPr>
    </w:p>
    <w:p w:rsidR="005E21FE" w:rsidRDefault="00CF3153" w:rsidP="00375645">
      <w:pPr>
        <w:pStyle w:val="PRN"/>
      </w:pPr>
      <w:r>
        <w:t>High pressure sodium fixtures</w:t>
      </w:r>
      <w:r w:rsidR="005E21FE">
        <w:t>.</w:t>
      </w:r>
    </w:p>
    <w:p w:rsidR="00807380" w:rsidRDefault="00CF3153" w:rsidP="00CF3153">
      <w:pPr>
        <w:pStyle w:val="PR1"/>
      </w:pPr>
      <w:r>
        <w:t>High pressure sodium light fixtures shall have a Payne Sparkman catalog number ULI-050S-NB Ultrasonic HPS Ignitor/No Blink ignitor for lamp ratings up to and including 150 watts.</w:t>
      </w:r>
    </w:p>
    <w:p w:rsidR="007C7777" w:rsidRDefault="00CF3153" w:rsidP="007C7777">
      <w:pPr>
        <w:pStyle w:val="PR1"/>
      </w:pPr>
      <w:r>
        <w:t>High pressure sodium light fixtures with lamp wattages above 150 watts to 400 watts shall use the Payne Sparkman catalog number ULI-100S ignitor.  1000 watt lamp fixtures shall use the Payne Sparkman catalog number ULI-250S ignitor.</w:t>
      </w:r>
    </w:p>
    <w:p w:rsidR="00871B08" w:rsidRDefault="00871B08">
      <w:pPr>
        <w:pStyle w:val="PRT"/>
      </w:pPr>
      <w:r>
        <w:t>EXECUTION</w:t>
      </w:r>
    </w:p>
    <w:p w:rsidR="00CF3153" w:rsidRDefault="00CF3153">
      <w:pPr>
        <w:pStyle w:val="EOS"/>
      </w:pPr>
      <w:r>
        <w:t>Not used.</w:t>
      </w:r>
    </w:p>
    <w:p w:rsidR="00D77242" w:rsidRDefault="00871B08">
      <w:pPr>
        <w:pStyle w:val="EOS"/>
      </w:pPr>
      <w:r>
        <w:t>END OF SECTIO</w:t>
      </w:r>
      <w:bookmarkStart w:id="0" w:name="_GoBack"/>
      <w:bookmarkEnd w:id="0"/>
      <w:r>
        <w:t>N 26</w:t>
      </w:r>
      <w:r w:rsidR="0091017F">
        <w:t>511</w:t>
      </w:r>
      <w:r w:rsidR="006679AE">
        <w:t>3</w:t>
      </w:r>
    </w:p>
    <w:sectPr w:rsidR="00D77242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DE" w:rsidRDefault="002F06DE">
      <w:r>
        <w:separator/>
      </w:r>
    </w:p>
  </w:endnote>
  <w:endnote w:type="continuationSeparator" w:id="0">
    <w:p w:rsidR="002F06DE" w:rsidRDefault="002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2B" w:rsidRDefault="00505F2B">
    <w:pPr>
      <w:pStyle w:val="FTR"/>
      <w:rPr>
        <w:rStyle w:val="NAM"/>
      </w:rPr>
    </w:pPr>
  </w:p>
  <w:p w:rsidR="00505F2B" w:rsidRDefault="00505F2B">
    <w:pPr>
      <w:pStyle w:val="FTR"/>
      <w:rPr>
        <w:rStyle w:val="NAM"/>
      </w:rPr>
    </w:pPr>
    <w:r>
      <w:rPr>
        <w:rStyle w:val="NAM"/>
      </w:rPr>
      <w:t>265113</w:t>
    </w:r>
    <w:r w:rsidR="007466FC">
      <w:rPr>
        <w:rStyle w:val="NAM"/>
      </w:rPr>
      <w:t>LampsandBallasts</w:t>
    </w:r>
    <w:r>
      <w:rPr>
        <w:rStyle w:val="NAM"/>
      </w:rPr>
      <w:t>.doc</w:t>
    </w:r>
    <w:r w:rsidR="00662A13">
      <w:rPr>
        <w:rStyle w:val="NAM"/>
      </w:rPr>
      <w:t>x</w:t>
    </w:r>
  </w:p>
  <w:p w:rsidR="00505F2B" w:rsidRDefault="00505F2B">
    <w:pPr>
      <w:pStyle w:val="FTR"/>
    </w:pPr>
    <w:r>
      <w:rPr>
        <w:rStyle w:val="NAM"/>
      </w:rPr>
      <w:t xml:space="preserve">Rev. </w:t>
    </w:r>
    <w:r w:rsidR="00D30274">
      <w:rPr>
        <w:rStyle w:val="NAM"/>
      </w:rPr>
      <w:t>0</w:t>
    </w:r>
    <w:r w:rsidR="009B0BDD">
      <w:rPr>
        <w:rStyle w:val="NAM"/>
      </w:rPr>
      <w:t>5/</w:t>
    </w:r>
    <w:r w:rsidR="00D30274">
      <w:rPr>
        <w:rStyle w:val="NAM"/>
      </w:rPr>
      <w:t>14</w:t>
    </w:r>
    <w:r w:rsidR="009B0BDD">
      <w:rPr>
        <w:rStyle w:val="NAM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DE" w:rsidRDefault="002F06DE">
      <w:r>
        <w:separator/>
      </w:r>
    </w:p>
  </w:footnote>
  <w:footnote w:type="continuationSeparator" w:id="0">
    <w:p w:rsidR="002F06DE" w:rsidRDefault="002F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2B" w:rsidRDefault="00505F2B" w:rsidP="0079599A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505F2B" w:rsidRDefault="00505F2B" w:rsidP="0079599A">
    <w:pPr>
      <w:pStyle w:val="Header"/>
    </w:pPr>
    <w:r>
      <w:t>Construction Standards</w:t>
    </w:r>
  </w:p>
  <w:p w:rsidR="00505F2B" w:rsidRDefault="00505F2B" w:rsidP="0079599A">
    <w:pPr>
      <w:pStyle w:val="Header"/>
      <w:tabs>
        <w:tab w:val="clear" w:pos="8640"/>
        <w:tab w:val="right" w:pos="9360"/>
      </w:tabs>
    </w:pPr>
    <w:r>
      <w:tab/>
    </w:r>
    <w:r>
      <w:tab/>
      <w:t>LAMPS AND BALLASTS</w:t>
    </w:r>
  </w:p>
  <w:p w:rsidR="00505F2B" w:rsidRDefault="00505F2B" w:rsidP="0079599A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265113-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3766">
      <w:rPr>
        <w:rStyle w:val="PageNumber"/>
        <w:noProof/>
      </w:rPr>
      <w:t>3</w:t>
    </w:r>
    <w:r>
      <w:rPr>
        <w:rStyle w:val="PageNumber"/>
      </w:rPr>
      <w:fldChar w:fldCharType="end"/>
    </w:r>
  </w:p>
  <w:p w:rsidR="00505F2B" w:rsidRPr="0079599A" w:rsidRDefault="00505F2B" w:rsidP="0079599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1B08"/>
    <w:rsid w:val="00087FF1"/>
    <w:rsid w:val="000A072F"/>
    <w:rsid w:val="000A4FAC"/>
    <w:rsid w:val="000A5A98"/>
    <w:rsid w:val="000A73DB"/>
    <w:rsid w:val="000C7CD8"/>
    <w:rsid w:val="00110074"/>
    <w:rsid w:val="00114CE3"/>
    <w:rsid w:val="001803BD"/>
    <w:rsid w:val="00184257"/>
    <w:rsid w:val="001914A5"/>
    <w:rsid w:val="001A35F9"/>
    <w:rsid w:val="001C2FD5"/>
    <w:rsid w:val="001C5EFD"/>
    <w:rsid w:val="00204C74"/>
    <w:rsid w:val="00267577"/>
    <w:rsid w:val="0028247C"/>
    <w:rsid w:val="002B52AC"/>
    <w:rsid w:val="002F06DE"/>
    <w:rsid w:val="002F1EC6"/>
    <w:rsid w:val="00304B64"/>
    <w:rsid w:val="00313B8B"/>
    <w:rsid w:val="00375645"/>
    <w:rsid w:val="00393C94"/>
    <w:rsid w:val="003C42D1"/>
    <w:rsid w:val="003E3C68"/>
    <w:rsid w:val="00422AA1"/>
    <w:rsid w:val="00473330"/>
    <w:rsid w:val="004A4F8C"/>
    <w:rsid w:val="00502642"/>
    <w:rsid w:val="005044FB"/>
    <w:rsid w:val="00505F2B"/>
    <w:rsid w:val="00513728"/>
    <w:rsid w:val="005562F6"/>
    <w:rsid w:val="00557B77"/>
    <w:rsid w:val="005612C8"/>
    <w:rsid w:val="00563274"/>
    <w:rsid w:val="00571A8C"/>
    <w:rsid w:val="005E21FE"/>
    <w:rsid w:val="005E4492"/>
    <w:rsid w:val="00613766"/>
    <w:rsid w:val="006161CF"/>
    <w:rsid w:val="00662A13"/>
    <w:rsid w:val="00663D91"/>
    <w:rsid w:val="00664828"/>
    <w:rsid w:val="006679AE"/>
    <w:rsid w:val="00684EA8"/>
    <w:rsid w:val="00687878"/>
    <w:rsid w:val="006B3EDC"/>
    <w:rsid w:val="006B7D21"/>
    <w:rsid w:val="006E2BA2"/>
    <w:rsid w:val="006E2F3B"/>
    <w:rsid w:val="006E783C"/>
    <w:rsid w:val="00727966"/>
    <w:rsid w:val="007466FC"/>
    <w:rsid w:val="007527A3"/>
    <w:rsid w:val="00754079"/>
    <w:rsid w:val="00767A94"/>
    <w:rsid w:val="0079599A"/>
    <w:rsid w:val="007C5475"/>
    <w:rsid w:val="007C7777"/>
    <w:rsid w:val="007D3EBC"/>
    <w:rsid w:val="00807380"/>
    <w:rsid w:val="0081564D"/>
    <w:rsid w:val="008444C8"/>
    <w:rsid w:val="00871B08"/>
    <w:rsid w:val="008815A5"/>
    <w:rsid w:val="00882033"/>
    <w:rsid w:val="00884902"/>
    <w:rsid w:val="0089675A"/>
    <w:rsid w:val="008A7174"/>
    <w:rsid w:val="008D1627"/>
    <w:rsid w:val="008E1763"/>
    <w:rsid w:val="008E1863"/>
    <w:rsid w:val="0091017F"/>
    <w:rsid w:val="00910FAA"/>
    <w:rsid w:val="00912B70"/>
    <w:rsid w:val="009731AA"/>
    <w:rsid w:val="009B0BDD"/>
    <w:rsid w:val="009D47B0"/>
    <w:rsid w:val="00A02EA1"/>
    <w:rsid w:val="00A4259F"/>
    <w:rsid w:val="00A4694A"/>
    <w:rsid w:val="00A85775"/>
    <w:rsid w:val="00A858B6"/>
    <w:rsid w:val="00AA259E"/>
    <w:rsid w:val="00AB4769"/>
    <w:rsid w:val="00AC2A4F"/>
    <w:rsid w:val="00AD29E4"/>
    <w:rsid w:val="00B3711F"/>
    <w:rsid w:val="00B66846"/>
    <w:rsid w:val="00B73749"/>
    <w:rsid w:val="00B8567D"/>
    <w:rsid w:val="00C01987"/>
    <w:rsid w:val="00CA790A"/>
    <w:rsid w:val="00CB2540"/>
    <w:rsid w:val="00CD65F7"/>
    <w:rsid w:val="00CF3153"/>
    <w:rsid w:val="00D2566F"/>
    <w:rsid w:val="00D30274"/>
    <w:rsid w:val="00D50B48"/>
    <w:rsid w:val="00D51795"/>
    <w:rsid w:val="00D54A48"/>
    <w:rsid w:val="00D61F10"/>
    <w:rsid w:val="00D77242"/>
    <w:rsid w:val="00D90D35"/>
    <w:rsid w:val="00DB387B"/>
    <w:rsid w:val="00E4135B"/>
    <w:rsid w:val="00E62245"/>
    <w:rsid w:val="00F601A9"/>
    <w:rsid w:val="00F64A5A"/>
    <w:rsid w:val="00F706EF"/>
    <w:rsid w:val="00F84F51"/>
    <w:rsid w:val="00F90A79"/>
    <w:rsid w:val="00F92E79"/>
    <w:rsid w:val="00FA76D6"/>
    <w:rsid w:val="00FD0814"/>
    <w:rsid w:val="00FD6984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DD6A4E"/>
  <w15:docId w15:val="{0887E395-1504-4EBC-847E-CB0BD9D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rsid w:val="00CA79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styleId="Header">
    <w:name w:val="header"/>
    <w:basedOn w:val="Normal"/>
    <w:rsid w:val="0079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99A"/>
    <w:pPr>
      <w:tabs>
        <w:tab w:val="center" w:pos="4320"/>
        <w:tab w:val="right" w:pos="8640"/>
      </w:tabs>
    </w:pPr>
  </w:style>
  <w:style w:type="paragraph" w:customStyle="1" w:styleId="RJUST">
    <w:name w:val="RJUST"/>
    <w:basedOn w:val="Normal"/>
    <w:rsid w:val="0079599A"/>
    <w:pPr>
      <w:jc w:val="right"/>
    </w:pPr>
  </w:style>
  <w:style w:type="character" w:styleId="PageNumber">
    <w:name w:val="page number"/>
    <w:basedOn w:val="DefaultParagraphFont"/>
    <w:rsid w:val="0079599A"/>
  </w:style>
  <w:style w:type="paragraph" w:styleId="BodyTextIndent">
    <w:name w:val="Body Text Indent"/>
    <w:basedOn w:val="Normal"/>
    <w:rsid w:val="00D77242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N">
    <w:name w:val="PRN"/>
    <w:basedOn w:val="Normal"/>
    <w:link w:val="PRNChar"/>
    <w:rsid w:val="0037564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375645"/>
    <w:rPr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656</Words>
  <Characters>3606</Characters>
  <Application>Microsoft Office Word</Application>
  <DocSecurity>0</DocSecurity>
  <Lines>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265600 - EXTERIOR LIGHTING</vt:lpstr>
    </vt:vector>
  </TitlesOfParts>
  <Manager/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Howard, Kane</cp:lastModifiedBy>
  <cp:revision>10</cp:revision>
  <dcterms:created xsi:type="dcterms:W3CDTF">2008-12-12T15:33:00Z</dcterms:created>
  <dcterms:modified xsi:type="dcterms:W3CDTF">2018-05-14T20:47:00Z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ward To">
    <vt:lpwstr>khoward</vt:lpwstr>
  </property>
  <property fmtid="{D5CDD505-2E9C-101B-9397-08002B2CF9AE}" pid="3" name="Status">
    <vt:lpwstr>Work in Progress</vt:lpwstr>
  </property>
</Properties>
</file>