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A5" w:rsidRDefault="009933A5">
      <w:pPr>
        <w:pStyle w:val="CMT"/>
      </w:pPr>
      <w:r>
        <w:t>Copyright 2004 by The American Institute of Architects (AIA)</w:t>
      </w:r>
    </w:p>
    <w:p w:rsidR="009933A5" w:rsidRDefault="009933A5">
      <w:pPr>
        <w:pStyle w:val="CMT"/>
      </w:pPr>
      <w:r>
        <w:t>Exclusively published and distributed by Architectural Computer Services, Inc. (ARCOM) for the AIA</w:t>
      </w:r>
    </w:p>
    <w:p w:rsidR="009933A5" w:rsidRDefault="009933A5">
      <w:pPr>
        <w:pStyle w:val="SCT"/>
      </w:pPr>
      <w:r>
        <w:t xml:space="preserve">SECTION </w:t>
      </w:r>
      <w:r>
        <w:rPr>
          <w:rStyle w:val="NUM"/>
        </w:rPr>
        <w:t>04</w:t>
      </w:r>
      <w:r w:rsidR="00802C0C">
        <w:rPr>
          <w:rStyle w:val="NUM"/>
        </w:rPr>
        <w:t>4000</w:t>
      </w:r>
      <w:r>
        <w:t xml:space="preserve"> - </w:t>
      </w:r>
      <w:r>
        <w:rPr>
          <w:rStyle w:val="NAM"/>
        </w:rPr>
        <w:t xml:space="preserve">STONE </w:t>
      </w:r>
      <w:r w:rsidR="00802C0C">
        <w:rPr>
          <w:rStyle w:val="NAM"/>
        </w:rPr>
        <w:t>ASSEMBLIES</w:t>
      </w:r>
    </w:p>
    <w:p w:rsidR="009933A5" w:rsidRDefault="009933A5">
      <w:pPr>
        <w:pStyle w:val="CMT"/>
      </w:pPr>
      <w:r>
        <w:t>Revise this Section by deleting and inserting text to meet Project-specific requirements.</w:t>
      </w:r>
    </w:p>
    <w:p w:rsidR="009933A5" w:rsidRDefault="009933A5">
      <w:pPr>
        <w:pStyle w:val="CMT"/>
      </w:pPr>
      <w:r>
        <w:t>This Section uses the term "Architect."  Change this term to match that used to identify the design professional as defined in the General and Supplementary Conditions.</w:t>
      </w:r>
    </w:p>
    <w:p w:rsidR="009933A5" w:rsidRDefault="009933A5">
      <w:pPr>
        <w:pStyle w:val="CMT"/>
      </w:pPr>
      <w:r>
        <w:t>Verify that Section titles referenced in this Section are correct for this Project's Specifications; Section titles may have changed.</w:t>
      </w:r>
    </w:p>
    <w:p w:rsidR="009933A5" w:rsidRDefault="009933A5">
      <w:pPr>
        <w:pStyle w:val="PRT"/>
      </w:pPr>
      <w:r>
        <w:t>GENERAL</w:t>
      </w:r>
    </w:p>
    <w:p w:rsidR="005A042E" w:rsidRPr="000550B5" w:rsidRDefault="000550B5" w:rsidP="005A042E">
      <w:pPr>
        <w:pStyle w:val="ART"/>
      </w:pPr>
      <w:r>
        <w:t>When not otherwise specified in this section, t</w:t>
      </w:r>
      <w:r w:rsidR="005A042E">
        <w:t xml:space="preserve">he MSU minimum requirements for stone masonry shall be as contained in the latest publication of </w:t>
      </w:r>
      <w:r w:rsidR="005A042E" w:rsidRPr="005A042E">
        <w:rPr>
          <w:u w:val="single"/>
        </w:rPr>
        <w:t>Limestone Institute Handbook</w:t>
      </w:r>
      <w:r>
        <w:rPr>
          <w:u w:val="single"/>
        </w:rPr>
        <w:t xml:space="preserve"> </w:t>
      </w:r>
      <w:r w:rsidRPr="000550B5">
        <w:t xml:space="preserve">available from Indiana Limestone Institute of America, Inc., </w:t>
      </w:r>
      <w:smartTag w:uri="urn:schemas-microsoft-com:office:smarttags" w:element="PlaceName">
        <w:r w:rsidRPr="000550B5">
          <w:t>Stone</w:t>
        </w:r>
      </w:smartTag>
      <w:r w:rsidRPr="000550B5">
        <w:t xml:space="preserve"> </w:t>
      </w:r>
      <w:smartTag w:uri="urn:schemas-microsoft-com:office:smarttags" w:element="PlaceType">
        <w:r w:rsidRPr="000550B5">
          <w:t>City</w:t>
        </w:r>
      </w:smartTag>
      <w:r w:rsidRPr="000550B5">
        <w:t xml:space="preserve"> </w:t>
      </w:r>
      <w:smartTag w:uri="urn:schemas-microsoft-com:office:smarttags" w:element="PlaceName">
        <w:r w:rsidRPr="000550B5">
          <w:t>B</w:t>
        </w:r>
        <w:r>
          <w:t>ank</w:t>
        </w:r>
      </w:smartTag>
      <w:r>
        <w:t xml:space="preserve"> </w:t>
      </w:r>
      <w:smartTag w:uri="urn:schemas-microsoft-com:office:smarttags" w:element="PlaceType">
        <w:r>
          <w:t>Building</w:t>
        </w:r>
      </w:smartTag>
      <w:r>
        <w:t xml:space="preserve">, </w:t>
      </w:r>
      <w:proofErr w:type="gramStart"/>
      <w:smartTag w:uri="urn:schemas-microsoft-com:office:smarttags" w:element="place">
        <w:r w:rsidRPr="000550B5">
          <w:t>Bedford</w:t>
        </w:r>
        <w:proofErr w:type="gramEnd"/>
        <w:r w:rsidRPr="000550B5">
          <w:t xml:space="preserve">, </w:t>
        </w:r>
        <w:smartTag w:uri="urn:schemas-microsoft-com:office:smarttags" w:element="State">
          <w:r w:rsidRPr="000550B5">
            <w:t>Indiana</w:t>
          </w:r>
        </w:smartTag>
        <w:r w:rsidRPr="000550B5">
          <w:t xml:space="preserve"> </w:t>
        </w:r>
        <w:smartTag w:uri="urn:schemas-microsoft-com:office:smarttags" w:element="PostalCode">
          <w:r w:rsidRPr="000550B5">
            <w:t>47421</w:t>
          </w:r>
        </w:smartTag>
      </w:smartTag>
      <w:r>
        <w:t>.</w:t>
      </w:r>
      <w:r w:rsidRPr="000550B5">
        <w:rPr>
          <w:color w:val="008000"/>
        </w:rPr>
        <w:t xml:space="preserve"> </w:t>
      </w:r>
      <w:r w:rsidRPr="000550B5">
        <w:t>www.iliai.com</w:t>
      </w:r>
      <w:r w:rsidR="005A042E" w:rsidRPr="000550B5">
        <w:t xml:space="preserve"> </w:t>
      </w:r>
    </w:p>
    <w:p w:rsidR="009933A5" w:rsidRDefault="009933A5">
      <w:pPr>
        <w:pStyle w:val="ART"/>
      </w:pPr>
      <w:r>
        <w:t>QUALITY ASSURANCE</w:t>
      </w:r>
    </w:p>
    <w:p w:rsidR="009933A5" w:rsidRDefault="009933A5">
      <w:pPr>
        <w:pStyle w:val="PR1"/>
      </w:pPr>
      <w:r>
        <w:t>Installer Qualifications:  A qualified installer who employs experienced stonemasons and stone fitters.</w:t>
      </w:r>
    </w:p>
    <w:p w:rsidR="009933A5" w:rsidRDefault="009933A5">
      <w:pPr>
        <w:pStyle w:val="CMT"/>
      </w:pPr>
      <w:r>
        <w:t>Delete third option in first paragraph below if no other stone Sections are used or if other Sections do not require the same stone varieties.</w:t>
      </w:r>
    </w:p>
    <w:p w:rsidR="009933A5" w:rsidRDefault="009933A5">
      <w:pPr>
        <w:pStyle w:val="PR1"/>
      </w:pPr>
      <w:r>
        <w:t>Source Limitations for Stone:  Obtain</w:t>
      </w:r>
      <w:r w:rsidR="000550B5">
        <w:t xml:space="preserve"> stone</w:t>
      </w:r>
      <w:r>
        <w:t xml:space="preserve"> from one quarry with resources to provide materials of consistent quality in appearance and physical properties.</w:t>
      </w:r>
    </w:p>
    <w:p w:rsidR="000550B5" w:rsidRDefault="000550B5">
      <w:pPr>
        <w:pStyle w:val="PR1"/>
      </w:pPr>
      <w:r>
        <w:t>All limestone used at M.S.U. will normally be Select grade buff, free from cracks, pits, spalls, seams and mineral stains.  Corners and edges should be chamfered to lessen chipping.</w:t>
      </w:r>
    </w:p>
    <w:p w:rsidR="000550B5" w:rsidRPr="00462C30" w:rsidRDefault="000550B5">
      <w:pPr>
        <w:pStyle w:val="PR1"/>
      </w:pPr>
      <w:r w:rsidRPr="00462C30">
        <w:t xml:space="preserve">Before stone is shipped from the shop, all surfaces which will be concealed after setting shall receive a shop application of clear water repellent.  This coat shall terminate one inch from the back surface.  Water repellent coating shall be </w:t>
      </w:r>
      <w:r w:rsidR="0069377F" w:rsidRPr="00462C30">
        <w:t xml:space="preserve">CHEMSTOP® by TAMMS IDUSTRIES, INC. </w:t>
      </w:r>
      <w:r w:rsidRPr="00462C30">
        <w:t xml:space="preserve">for regular masonry, or a clear silicone </w:t>
      </w:r>
      <w:r w:rsidR="0069377F" w:rsidRPr="00462C30">
        <w:t xml:space="preserve">type </w:t>
      </w:r>
      <w:r w:rsidRPr="00462C30">
        <w:t xml:space="preserve">having not less than 5% silicone, equal to </w:t>
      </w:r>
      <w:proofErr w:type="spellStart"/>
      <w:r w:rsidRPr="00462C30">
        <w:t>Sika</w:t>
      </w:r>
      <w:proofErr w:type="spellEnd"/>
      <w:r w:rsidRPr="00462C30">
        <w:t xml:space="preserve"> Transparent.</w:t>
      </w:r>
    </w:p>
    <w:p w:rsidR="009933A5" w:rsidRDefault="009933A5">
      <w:pPr>
        <w:pStyle w:val="ART"/>
      </w:pPr>
      <w:r>
        <w:t>DELIVERY, STORAGE, AND HANDLING</w:t>
      </w:r>
    </w:p>
    <w:p w:rsidR="0069377F" w:rsidRDefault="0069377F" w:rsidP="0069377F">
      <w:pPr>
        <w:pStyle w:val="PR1"/>
      </w:pPr>
      <w:r>
        <w:t xml:space="preserve">Stone shall be delivered and stored on planks or timbers, off of the ground.  Store stone in a protected area away from dirt, dust soot, mud, grease, and other disfiguring elements.  Cover the stone if directed.  </w:t>
      </w:r>
    </w:p>
    <w:p w:rsidR="0069377F" w:rsidRDefault="0069377F" w:rsidP="0069377F">
      <w:pPr>
        <w:pStyle w:val="PR1"/>
      </w:pPr>
      <w:r>
        <w:t>Stone will</w:t>
      </w:r>
      <w:r w:rsidR="00691BCC">
        <w:t xml:space="preserve"> generally be stacked in the same position in which it will be set.  If flat stone is shipped </w:t>
      </w:r>
      <w:r w:rsidR="00AA16A4">
        <w:t>lying</w:t>
      </w:r>
      <w:r w:rsidR="00691BCC">
        <w:t xml:space="preserve"> flat and will be stored more than one month, the stone will be restacked and stored on edge in the position it will be set.</w:t>
      </w:r>
    </w:p>
    <w:p w:rsidR="00691BCC" w:rsidRDefault="00691BCC" w:rsidP="0069377F">
      <w:pPr>
        <w:pStyle w:val="PR1"/>
      </w:pPr>
      <w:r>
        <w:t>Wood used for planks and spacers shall be dry cypress, white pine, or yellow pine.  Do not use walnut, oak fir, or other woods containing tannin.</w:t>
      </w:r>
    </w:p>
    <w:p w:rsidR="00691BCC" w:rsidRDefault="00691BCC" w:rsidP="0069377F">
      <w:pPr>
        <w:pStyle w:val="PR1"/>
      </w:pPr>
      <w:r>
        <w:t>The above storage and handling requirements also apply to the storing of salvaged stone that will be reused.</w:t>
      </w:r>
    </w:p>
    <w:p w:rsidR="00691BCC" w:rsidRDefault="00691BCC" w:rsidP="00691BCC">
      <w:pPr>
        <w:pStyle w:val="ART"/>
      </w:pPr>
      <w:r>
        <w:t>EXECUTION</w:t>
      </w:r>
    </w:p>
    <w:p w:rsidR="00691BCC" w:rsidRDefault="00691BCC" w:rsidP="00691BCC">
      <w:pPr>
        <w:pStyle w:val="PR1"/>
      </w:pPr>
      <w:r>
        <w:t xml:space="preserve">All anchors should be nonferrous metal and clearly detailed on the Architect/engineer’s drawings.  Point all stone joints and joints between stone and other adjacent surfaces with the </w:t>
      </w:r>
      <w:r>
        <w:lastRenderedPageBreak/>
        <w:t xml:space="preserve">proper colored </w:t>
      </w:r>
      <w:r w:rsidR="00AA16A4">
        <w:t>elastomeric</w:t>
      </w:r>
      <w:r>
        <w:t xml:space="preserve"> sealant, ¼” to 3/8” deep.  All joints such as wash joints that can retain moisture shall be caulked with </w:t>
      </w:r>
      <w:r w:rsidR="00AA16A4">
        <w:t>elastomeric</w:t>
      </w:r>
      <w:r>
        <w:t xml:space="preserve"> sealant.</w:t>
      </w:r>
    </w:p>
    <w:p w:rsidR="00691BCC" w:rsidRDefault="00691BCC" w:rsidP="00691BCC">
      <w:pPr>
        <w:pStyle w:val="PR1"/>
      </w:pPr>
      <w:r>
        <w:t>The exposed faces of all stone work shall be thoroughly cleaned on completion of all work.  This cleaning shall be done with soap in clean water, applied vigorously with stiff fiber brushes.  After cleaning, the exposed surfaces shall be drenched with clean water and rinsed thoroughly clean.</w:t>
      </w:r>
    </w:p>
    <w:p w:rsidR="00691BCC" w:rsidRPr="00691BCC" w:rsidRDefault="00691BCC" w:rsidP="00691BCC">
      <w:pPr>
        <w:pStyle w:val="PR1"/>
      </w:pPr>
      <w:r>
        <w:t xml:space="preserve">Stone which later clouds and shows </w:t>
      </w:r>
      <w:r w:rsidR="00AA16A4">
        <w:t>stain</w:t>
      </w:r>
      <w:r>
        <w:t xml:space="preserve"> shall be allowed a reasonable length of time to dry out.  If stains remain, stone shall be washed down.  Acids or wire brush will not be allowed.  If stains remain, stone work in question shall be removed and a new stone installed.</w:t>
      </w:r>
    </w:p>
    <w:p w:rsidR="009933A5" w:rsidRDefault="009933A5" w:rsidP="00691BCC">
      <w:pPr>
        <w:pStyle w:val="PRT"/>
        <w:numPr>
          <w:ilvl w:val="0"/>
          <w:numId w:val="0"/>
        </w:numPr>
      </w:pPr>
      <w:r>
        <w:t>END OF SECTION 04</w:t>
      </w:r>
      <w:r w:rsidR="00802C0C">
        <w:t>4000</w:t>
      </w:r>
    </w:p>
    <w:sectPr w:rsidR="009933A5" w:rsidSect="004D6DD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4BA" w:rsidRDefault="00C334BA">
      <w:r>
        <w:separator/>
      </w:r>
    </w:p>
  </w:endnote>
  <w:endnote w:type="continuationSeparator" w:id="1">
    <w:p w:rsidR="00C334BA" w:rsidRDefault="00C33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0C" w:rsidRDefault="00802C0C">
    <w:pPr>
      <w:pStyle w:val="FTR"/>
      <w:rPr>
        <w:rStyle w:val="NAM"/>
      </w:rPr>
    </w:pPr>
    <w:r>
      <w:rPr>
        <w:rStyle w:val="NAM"/>
      </w:rPr>
      <w:t>044000</w:t>
    </w:r>
    <w:r w:rsidR="00B30116">
      <w:rPr>
        <w:rStyle w:val="NAM"/>
      </w:rPr>
      <w:t>StoneAssemblies.doc</w:t>
    </w:r>
    <w:r w:rsidR="008569CF">
      <w:rPr>
        <w:rStyle w:val="NAM"/>
      </w:rPr>
      <w:t>x</w:t>
    </w:r>
  </w:p>
  <w:p w:rsidR="009933A5" w:rsidRDefault="00243607">
    <w:pPr>
      <w:pStyle w:val="FTR"/>
    </w:pPr>
    <w:r>
      <w:rPr>
        <w:rStyle w:val="NAM"/>
      </w:rPr>
      <w:t>Rev.01/01/2009</w:t>
    </w:r>
  </w:p>
  <w:p w:rsidR="00802C0C" w:rsidRDefault="00802C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4BA" w:rsidRDefault="00C334BA">
      <w:r>
        <w:separator/>
      </w:r>
    </w:p>
  </w:footnote>
  <w:footnote w:type="continuationSeparator" w:id="1">
    <w:p w:rsidR="00C334BA" w:rsidRDefault="00C33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A5" w:rsidRDefault="00AA16A4">
    <w:pPr>
      <w:pStyle w:val="HDR"/>
      <w:rPr>
        <w:rStyle w:val="CPR"/>
      </w:rPr>
    </w:pPr>
    <w:r w:rsidRPr="00AA16A4">
      <w:rPr>
        <w:rStyle w:val="CPR"/>
      </w:rPr>
      <w:t>Michigan State University</w:t>
    </w:r>
    <w:r>
      <w:rPr>
        <w:rStyle w:val="CPR"/>
      </w:rPr>
      <w:tab/>
    </w:r>
    <w:r>
      <w:rPr>
        <w:rStyle w:val="CPR"/>
      </w:rPr>
      <w:tab/>
      <w:t>STONE</w:t>
    </w:r>
    <w:r w:rsidR="00802C0C">
      <w:rPr>
        <w:rStyle w:val="CPR"/>
      </w:rPr>
      <w:t xml:space="preserve"> ASSEMBLIES</w:t>
    </w:r>
  </w:p>
  <w:p w:rsidR="00AA16A4" w:rsidRDefault="00AA16A4">
    <w:pPr>
      <w:pStyle w:val="HDR"/>
    </w:pPr>
    <w:r>
      <w:rPr>
        <w:rStyle w:val="CPR"/>
      </w:rPr>
      <w:t>Co</w:t>
    </w:r>
    <w:r w:rsidR="00802C0C">
      <w:rPr>
        <w:rStyle w:val="CPR"/>
      </w:rPr>
      <w:t>nstruction Standards</w:t>
    </w:r>
    <w:r w:rsidR="00802C0C">
      <w:rPr>
        <w:rStyle w:val="CPR"/>
      </w:rPr>
      <w:tab/>
    </w:r>
    <w:r w:rsidR="00802C0C">
      <w:rPr>
        <w:rStyle w:val="CPR"/>
      </w:rPr>
      <w:tab/>
      <w:t>PAGE 044000</w:t>
    </w:r>
    <w:r>
      <w:rPr>
        <w:rStyle w:val="CPR"/>
      </w:rPr>
      <w:t xml:space="preserve"> - </w:t>
    </w:r>
    <w:r w:rsidR="004D6DDF">
      <w:rPr>
        <w:rStyle w:val="PageNumber"/>
      </w:rPr>
      <w:fldChar w:fldCharType="begin"/>
    </w:r>
    <w:r>
      <w:rPr>
        <w:rStyle w:val="PageNumber"/>
      </w:rPr>
      <w:instrText xml:space="preserve"> PAGE </w:instrText>
    </w:r>
    <w:r w:rsidR="004D6DDF">
      <w:rPr>
        <w:rStyle w:val="PageNumber"/>
      </w:rPr>
      <w:fldChar w:fldCharType="separate"/>
    </w:r>
    <w:r w:rsidR="000A3AF5">
      <w:rPr>
        <w:rStyle w:val="PageNumber"/>
        <w:noProof/>
      </w:rPr>
      <w:t>1</w:t>
    </w:r>
    <w:r w:rsidR="004D6DDF">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9933A5"/>
    <w:rsid w:val="000464A6"/>
    <w:rsid w:val="000550B5"/>
    <w:rsid w:val="000A3AF5"/>
    <w:rsid w:val="00243607"/>
    <w:rsid w:val="00462C30"/>
    <w:rsid w:val="004D6DDF"/>
    <w:rsid w:val="005A042E"/>
    <w:rsid w:val="00691BCC"/>
    <w:rsid w:val="0069377F"/>
    <w:rsid w:val="00734BBD"/>
    <w:rsid w:val="00802C0C"/>
    <w:rsid w:val="008569CF"/>
    <w:rsid w:val="00874D5B"/>
    <w:rsid w:val="008A33BD"/>
    <w:rsid w:val="008F4222"/>
    <w:rsid w:val="009933A5"/>
    <w:rsid w:val="00AA16A4"/>
    <w:rsid w:val="00B30116"/>
    <w:rsid w:val="00C334BA"/>
    <w:rsid w:val="00EC5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D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D6DDF"/>
    <w:pPr>
      <w:tabs>
        <w:tab w:val="center" w:pos="4608"/>
        <w:tab w:val="right" w:pos="9360"/>
      </w:tabs>
      <w:suppressAutoHyphens/>
      <w:jc w:val="both"/>
    </w:pPr>
  </w:style>
  <w:style w:type="paragraph" w:customStyle="1" w:styleId="FTR">
    <w:name w:val="FTR"/>
    <w:basedOn w:val="Normal"/>
    <w:rsid w:val="004D6DDF"/>
    <w:pPr>
      <w:tabs>
        <w:tab w:val="right" w:pos="9360"/>
      </w:tabs>
      <w:suppressAutoHyphens/>
      <w:jc w:val="both"/>
    </w:pPr>
  </w:style>
  <w:style w:type="paragraph" w:customStyle="1" w:styleId="SCT">
    <w:name w:val="SCT"/>
    <w:basedOn w:val="Normal"/>
    <w:next w:val="PRT"/>
    <w:rsid w:val="004D6DDF"/>
    <w:pPr>
      <w:suppressAutoHyphens/>
      <w:spacing w:before="240"/>
      <w:jc w:val="both"/>
    </w:pPr>
  </w:style>
  <w:style w:type="paragraph" w:customStyle="1" w:styleId="PRT">
    <w:name w:val="PRT"/>
    <w:basedOn w:val="Normal"/>
    <w:next w:val="ART"/>
    <w:rsid w:val="004D6DDF"/>
    <w:pPr>
      <w:keepNext/>
      <w:numPr>
        <w:numId w:val="1"/>
      </w:numPr>
      <w:suppressAutoHyphens/>
      <w:spacing w:before="480"/>
      <w:jc w:val="both"/>
      <w:outlineLvl w:val="0"/>
    </w:pPr>
  </w:style>
  <w:style w:type="paragraph" w:customStyle="1" w:styleId="SUT">
    <w:name w:val="SUT"/>
    <w:basedOn w:val="Normal"/>
    <w:next w:val="PR1"/>
    <w:rsid w:val="004D6DDF"/>
    <w:pPr>
      <w:numPr>
        <w:ilvl w:val="1"/>
        <w:numId w:val="1"/>
      </w:numPr>
      <w:suppressAutoHyphens/>
      <w:spacing w:before="240"/>
      <w:jc w:val="both"/>
      <w:outlineLvl w:val="0"/>
    </w:pPr>
  </w:style>
  <w:style w:type="paragraph" w:customStyle="1" w:styleId="DST">
    <w:name w:val="DST"/>
    <w:basedOn w:val="Normal"/>
    <w:next w:val="PR1"/>
    <w:rsid w:val="004D6DDF"/>
    <w:pPr>
      <w:numPr>
        <w:ilvl w:val="2"/>
        <w:numId w:val="1"/>
      </w:numPr>
      <w:suppressAutoHyphens/>
      <w:spacing w:before="240"/>
      <w:jc w:val="both"/>
      <w:outlineLvl w:val="0"/>
    </w:pPr>
  </w:style>
  <w:style w:type="paragraph" w:customStyle="1" w:styleId="ART">
    <w:name w:val="ART"/>
    <w:basedOn w:val="Normal"/>
    <w:next w:val="PR1"/>
    <w:rsid w:val="004D6DDF"/>
    <w:pPr>
      <w:keepNext/>
      <w:numPr>
        <w:ilvl w:val="3"/>
        <w:numId w:val="1"/>
      </w:numPr>
      <w:suppressAutoHyphens/>
      <w:spacing w:before="480"/>
      <w:jc w:val="both"/>
      <w:outlineLvl w:val="1"/>
    </w:pPr>
  </w:style>
  <w:style w:type="paragraph" w:customStyle="1" w:styleId="PR1">
    <w:name w:val="PR1"/>
    <w:basedOn w:val="Normal"/>
    <w:rsid w:val="004D6DDF"/>
    <w:pPr>
      <w:numPr>
        <w:ilvl w:val="4"/>
        <w:numId w:val="1"/>
      </w:numPr>
      <w:suppressAutoHyphens/>
      <w:spacing w:before="240"/>
      <w:jc w:val="both"/>
      <w:outlineLvl w:val="2"/>
    </w:pPr>
  </w:style>
  <w:style w:type="paragraph" w:customStyle="1" w:styleId="PR2">
    <w:name w:val="PR2"/>
    <w:basedOn w:val="Normal"/>
    <w:rsid w:val="004D6DDF"/>
    <w:pPr>
      <w:numPr>
        <w:ilvl w:val="5"/>
        <w:numId w:val="1"/>
      </w:numPr>
      <w:suppressAutoHyphens/>
      <w:jc w:val="both"/>
      <w:outlineLvl w:val="3"/>
    </w:pPr>
  </w:style>
  <w:style w:type="paragraph" w:customStyle="1" w:styleId="PR3">
    <w:name w:val="PR3"/>
    <w:basedOn w:val="Normal"/>
    <w:rsid w:val="004D6DDF"/>
    <w:pPr>
      <w:numPr>
        <w:ilvl w:val="6"/>
        <w:numId w:val="1"/>
      </w:numPr>
      <w:suppressAutoHyphens/>
      <w:jc w:val="both"/>
      <w:outlineLvl w:val="4"/>
    </w:pPr>
  </w:style>
  <w:style w:type="paragraph" w:customStyle="1" w:styleId="PR4">
    <w:name w:val="PR4"/>
    <w:basedOn w:val="Normal"/>
    <w:rsid w:val="004D6DDF"/>
    <w:pPr>
      <w:numPr>
        <w:ilvl w:val="7"/>
        <w:numId w:val="1"/>
      </w:numPr>
      <w:suppressAutoHyphens/>
      <w:jc w:val="both"/>
      <w:outlineLvl w:val="5"/>
    </w:pPr>
  </w:style>
  <w:style w:type="paragraph" w:customStyle="1" w:styleId="PR5">
    <w:name w:val="PR5"/>
    <w:basedOn w:val="Normal"/>
    <w:rsid w:val="004D6DDF"/>
    <w:pPr>
      <w:numPr>
        <w:ilvl w:val="8"/>
        <w:numId w:val="1"/>
      </w:numPr>
      <w:suppressAutoHyphens/>
      <w:jc w:val="both"/>
      <w:outlineLvl w:val="6"/>
    </w:pPr>
  </w:style>
  <w:style w:type="paragraph" w:customStyle="1" w:styleId="TB1">
    <w:name w:val="TB1"/>
    <w:basedOn w:val="Normal"/>
    <w:next w:val="PR1"/>
    <w:rsid w:val="004D6DDF"/>
    <w:pPr>
      <w:suppressAutoHyphens/>
      <w:spacing w:before="240"/>
      <w:ind w:left="288"/>
      <w:jc w:val="both"/>
    </w:pPr>
  </w:style>
  <w:style w:type="paragraph" w:customStyle="1" w:styleId="TB2">
    <w:name w:val="TB2"/>
    <w:basedOn w:val="Normal"/>
    <w:next w:val="PR2"/>
    <w:rsid w:val="004D6DDF"/>
    <w:pPr>
      <w:suppressAutoHyphens/>
      <w:spacing w:before="240"/>
      <w:ind w:left="864"/>
      <w:jc w:val="both"/>
    </w:pPr>
  </w:style>
  <w:style w:type="paragraph" w:customStyle="1" w:styleId="TB3">
    <w:name w:val="TB3"/>
    <w:basedOn w:val="Normal"/>
    <w:next w:val="PR3"/>
    <w:rsid w:val="004D6DDF"/>
    <w:pPr>
      <w:suppressAutoHyphens/>
      <w:spacing w:before="240"/>
      <w:ind w:left="1440"/>
      <w:jc w:val="both"/>
    </w:pPr>
  </w:style>
  <w:style w:type="paragraph" w:customStyle="1" w:styleId="TB4">
    <w:name w:val="TB4"/>
    <w:basedOn w:val="Normal"/>
    <w:next w:val="PR4"/>
    <w:rsid w:val="004D6DDF"/>
    <w:pPr>
      <w:suppressAutoHyphens/>
      <w:spacing w:before="240"/>
      <w:ind w:left="2016"/>
      <w:jc w:val="both"/>
    </w:pPr>
  </w:style>
  <w:style w:type="paragraph" w:customStyle="1" w:styleId="TB5">
    <w:name w:val="TB5"/>
    <w:basedOn w:val="Normal"/>
    <w:next w:val="PR5"/>
    <w:rsid w:val="004D6DDF"/>
    <w:pPr>
      <w:suppressAutoHyphens/>
      <w:spacing w:before="240"/>
      <w:ind w:left="2592"/>
      <w:jc w:val="both"/>
    </w:pPr>
  </w:style>
  <w:style w:type="paragraph" w:customStyle="1" w:styleId="TF1">
    <w:name w:val="TF1"/>
    <w:basedOn w:val="Normal"/>
    <w:next w:val="TB1"/>
    <w:rsid w:val="004D6DDF"/>
    <w:pPr>
      <w:suppressAutoHyphens/>
      <w:spacing w:before="240"/>
      <w:ind w:left="288"/>
      <w:jc w:val="both"/>
    </w:pPr>
  </w:style>
  <w:style w:type="paragraph" w:customStyle="1" w:styleId="TF2">
    <w:name w:val="TF2"/>
    <w:basedOn w:val="Normal"/>
    <w:next w:val="TB2"/>
    <w:rsid w:val="004D6DDF"/>
    <w:pPr>
      <w:suppressAutoHyphens/>
      <w:spacing w:before="240"/>
      <w:ind w:left="864"/>
      <w:jc w:val="both"/>
    </w:pPr>
  </w:style>
  <w:style w:type="paragraph" w:customStyle="1" w:styleId="TF3">
    <w:name w:val="TF3"/>
    <w:basedOn w:val="Normal"/>
    <w:next w:val="TB3"/>
    <w:rsid w:val="004D6DDF"/>
    <w:pPr>
      <w:suppressAutoHyphens/>
      <w:spacing w:before="240"/>
      <w:ind w:left="1440"/>
      <w:jc w:val="both"/>
    </w:pPr>
  </w:style>
  <w:style w:type="paragraph" w:customStyle="1" w:styleId="TF4">
    <w:name w:val="TF4"/>
    <w:basedOn w:val="Normal"/>
    <w:next w:val="TB4"/>
    <w:rsid w:val="004D6DDF"/>
    <w:pPr>
      <w:suppressAutoHyphens/>
      <w:spacing w:before="240"/>
      <w:ind w:left="2016"/>
      <w:jc w:val="both"/>
    </w:pPr>
  </w:style>
  <w:style w:type="paragraph" w:customStyle="1" w:styleId="TF5">
    <w:name w:val="TF5"/>
    <w:basedOn w:val="Normal"/>
    <w:next w:val="TB5"/>
    <w:rsid w:val="004D6DDF"/>
    <w:pPr>
      <w:suppressAutoHyphens/>
      <w:spacing w:before="240"/>
      <w:ind w:left="2592"/>
      <w:jc w:val="both"/>
    </w:pPr>
  </w:style>
  <w:style w:type="paragraph" w:customStyle="1" w:styleId="TCH">
    <w:name w:val="TCH"/>
    <w:basedOn w:val="Normal"/>
    <w:rsid w:val="004D6DDF"/>
    <w:pPr>
      <w:suppressAutoHyphens/>
    </w:pPr>
  </w:style>
  <w:style w:type="paragraph" w:customStyle="1" w:styleId="TCE">
    <w:name w:val="TCE"/>
    <w:basedOn w:val="Normal"/>
    <w:rsid w:val="004D6DDF"/>
    <w:pPr>
      <w:suppressAutoHyphens/>
      <w:ind w:left="144" w:hanging="144"/>
    </w:pPr>
  </w:style>
  <w:style w:type="paragraph" w:customStyle="1" w:styleId="EOS">
    <w:name w:val="EOS"/>
    <w:basedOn w:val="Normal"/>
    <w:rsid w:val="004D6DDF"/>
    <w:pPr>
      <w:suppressAutoHyphens/>
      <w:spacing w:before="480"/>
      <w:jc w:val="both"/>
    </w:pPr>
  </w:style>
  <w:style w:type="paragraph" w:customStyle="1" w:styleId="ANT">
    <w:name w:val="ANT"/>
    <w:basedOn w:val="Normal"/>
    <w:rsid w:val="004D6DDF"/>
    <w:pPr>
      <w:suppressAutoHyphens/>
      <w:spacing w:before="240"/>
      <w:jc w:val="both"/>
    </w:pPr>
    <w:rPr>
      <w:vanish/>
      <w:color w:val="800080"/>
      <w:u w:val="single"/>
    </w:rPr>
  </w:style>
  <w:style w:type="paragraph" w:customStyle="1" w:styleId="CMT">
    <w:name w:val="CMT"/>
    <w:basedOn w:val="Normal"/>
    <w:rsid w:val="004D6DDF"/>
    <w:pPr>
      <w:suppressAutoHyphens/>
      <w:spacing w:before="240"/>
      <w:jc w:val="both"/>
    </w:pPr>
    <w:rPr>
      <w:vanish/>
      <w:color w:val="0000FF"/>
    </w:rPr>
  </w:style>
  <w:style w:type="character" w:customStyle="1" w:styleId="CPR">
    <w:name w:val="CPR"/>
    <w:basedOn w:val="DefaultParagraphFont"/>
    <w:rsid w:val="004D6DDF"/>
  </w:style>
  <w:style w:type="character" w:customStyle="1" w:styleId="SPN">
    <w:name w:val="SPN"/>
    <w:basedOn w:val="DefaultParagraphFont"/>
    <w:rsid w:val="004D6DDF"/>
  </w:style>
  <w:style w:type="character" w:customStyle="1" w:styleId="SPD">
    <w:name w:val="SPD"/>
    <w:basedOn w:val="DefaultParagraphFont"/>
    <w:rsid w:val="004D6DDF"/>
  </w:style>
  <w:style w:type="character" w:customStyle="1" w:styleId="NUM">
    <w:name w:val="NUM"/>
    <w:basedOn w:val="DefaultParagraphFont"/>
    <w:rsid w:val="004D6DDF"/>
  </w:style>
  <w:style w:type="character" w:customStyle="1" w:styleId="NAM">
    <w:name w:val="NAM"/>
    <w:basedOn w:val="DefaultParagraphFont"/>
    <w:rsid w:val="004D6DDF"/>
  </w:style>
  <w:style w:type="character" w:customStyle="1" w:styleId="SI">
    <w:name w:val="SI"/>
    <w:basedOn w:val="DefaultParagraphFont"/>
    <w:rsid w:val="004D6DDF"/>
    <w:rPr>
      <w:color w:val="008080"/>
    </w:rPr>
  </w:style>
  <w:style w:type="character" w:customStyle="1" w:styleId="IP">
    <w:name w:val="IP"/>
    <w:basedOn w:val="DefaultParagraphFont"/>
    <w:rsid w:val="004D6DDF"/>
    <w:rPr>
      <w:color w:val="FF0000"/>
    </w:rPr>
  </w:style>
  <w:style w:type="paragraph" w:styleId="Header">
    <w:name w:val="header"/>
    <w:basedOn w:val="Normal"/>
    <w:rsid w:val="00AA16A4"/>
    <w:pPr>
      <w:tabs>
        <w:tab w:val="center" w:pos="4320"/>
        <w:tab w:val="right" w:pos="8640"/>
      </w:tabs>
    </w:pPr>
  </w:style>
  <w:style w:type="paragraph" w:styleId="Footer">
    <w:name w:val="footer"/>
    <w:basedOn w:val="Normal"/>
    <w:rsid w:val="00AA16A4"/>
    <w:pPr>
      <w:tabs>
        <w:tab w:val="center" w:pos="4320"/>
        <w:tab w:val="right" w:pos="8640"/>
      </w:tabs>
    </w:pPr>
  </w:style>
  <w:style w:type="character" w:styleId="PageNumber">
    <w:name w:val="page number"/>
    <w:basedOn w:val="DefaultParagraphFont"/>
    <w:rsid w:val="00AA16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04860 - STONE MASONRY</vt:lpstr>
    </vt:vector>
  </TitlesOfParts>
  <Company>ARCOM</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04860 - STONE MASONRY</dc:title>
  <dc:subject>STONE MASONRY</dc:subject>
  <dc:creator>ARCOM, Inc.</dc:creator>
  <cp:keywords>BAS-12345-MS80</cp:keywords>
  <cp:lastModifiedBy>bjhought</cp:lastModifiedBy>
  <cp:revision>3</cp:revision>
  <dcterms:created xsi:type="dcterms:W3CDTF">2008-12-05T18:47:00Z</dcterms:created>
  <dcterms:modified xsi:type="dcterms:W3CDTF">2009-01-21T13:46:00Z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